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6017C" w14:textId="57008EFE" w:rsidR="00027D1F" w:rsidRPr="00357CDE" w:rsidRDefault="00027D1F" w:rsidP="00027D1F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#118</w:t>
      </w:r>
      <w:r w:rsidRPr="007D3E81">
        <w:rPr>
          <w:rFonts w:cs="Arial"/>
          <w:b/>
          <w:sz w:val="24"/>
          <w:szCs w:val="24"/>
        </w:rPr>
        <w:tab/>
      </w:r>
      <w:bookmarkStart w:id="0" w:name="_GoBack"/>
      <w:r w:rsidR="006B75FF" w:rsidRPr="006B75FF">
        <w:rPr>
          <w:rFonts w:cs="Arial"/>
          <w:b/>
          <w:sz w:val="24"/>
          <w:szCs w:val="24"/>
        </w:rPr>
        <w:t>R3-226730</w:t>
      </w:r>
      <w:bookmarkEnd w:id="0"/>
    </w:p>
    <w:p w14:paraId="23C3D6E7" w14:textId="77777777" w:rsidR="00027D1F" w:rsidRDefault="00027D1F" w:rsidP="00027D1F">
      <w:pPr>
        <w:widowControl w:val="0"/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346982">
        <w:rPr>
          <w:rFonts w:ascii="Arial" w:eastAsia="MS Mincho" w:hAnsi="Arial" w:cs="Arial"/>
          <w:b/>
          <w:sz w:val="24"/>
          <w:szCs w:val="24"/>
        </w:rPr>
        <w:t>Toulouse, France, 14th - 18th November 2022</w:t>
      </w:r>
    </w:p>
    <w:p w14:paraId="05FE47DF" w14:textId="77777777" w:rsidR="00CD4C7B" w:rsidRPr="00027D1F" w:rsidRDefault="00CD4C7B" w:rsidP="00CD4C7B">
      <w:pPr>
        <w:pStyle w:val="a3"/>
        <w:rPr>
          <w:bCs/>
          <w:noProof w:val="0"/>
          <w:sz w:val="24"/>
        </w:rPr>
      </w:pPr>
    </w:p>
    <w:p w14:paraId="0717E73E" w14:textId="77777777" w:rsidR="00CD4C7B" w:rsidRPr="00B1063A" w:rsidRDefault="00CD4C7B" w:rsidP="00CD4C7B">
      <w:pPr>
        <w:pStyle w:val="a3"/>
        <w:rPr>
          <w:bCs/>
          <w:noProof w:val="0"/>
          <w:sz w:val="24"/>
          <w:lang w:val="en-US"/>
        </w:rPr>
      </w:pPr>
    </w:p>
    <w:p w14:paraId="3B0EF5F6" w14:textId="1F4078B5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342065">
        <w:rPr>
          <w:rFonts w:cs="Arial"/>
          <w:b/>
          <w:bCs/>
          <w:sz w:val="24"/>
          <w:lang w:val="en-US" w:eastAsia="ja-JP"/>
        </w:rPr>
        <w:t>13.2</w:t>
      </w:r>
    </w:p>
    <w:p w14:paraId="47FEC04C" w14:textId="296E550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338388F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B5FD6">
        <w:rPr>
          <w:rFonts w:ascii="Arial" w:hAnsi="Arial" w:cs="Arial"/>
          <w:b/>
          <w:bCs/>
          <w:sz w:val="24"/>
        </w:rPr>
        <w:t xml:space="preserve">Discussion on </w:t>
      </w:r>
      <w:r w:rsidR="0070147B" w:rsidRPr="0070147B">
        <w:rPr>
          <w:rFonts w:ascii="Arial" w:hAnsi="Arial" w:cs="Arial"/>
          <w:b/>
          <w:bCs/>
          <w:sz w:val="24"/>
        </w:rPr>
        <w:t>IAB-node mobility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1350E9C0" w14:textId="4DB1B2E4" w:rsidR="00B6745D" w:rsidRDefault="007E1F12" w:rsidP="00F7133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03F3E7" wp14:editId="13DA4D3A">
                <wp:simplePos x="0" y="0"/>
                <wp:positionH relativeFrom="column">
                  <wp:posOffset>-26035</wp:posOffset>
                </wp:positionH>
                <wp:positionV relativeFrom="paragraph">
                  <wp:posOffset>334010</wp:posOffset>
                </wp:positionV>
                <wp:extent cx="5934710" cy="4119880"/>
                <wp:effectExtent l="0" t="0" r="27940" b="13970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710" cy="4119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BA1BFD" w14:textId="77777777" w:rsidR="00F35C58" w:rsidRPr="000F39B0" w:rsidRDefault="00F35C58" w:rsidP="00F35C58">
                            <w:pPr>
                              <w:widowControl w:val="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-DU migration and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-MT handover can be executed independently from each other. Details on the scenarios need to be further discussed.</w:t>
                            </w:r>
                          </w:p>
                          <w:p w14:paraId="78D09358" w14:textId="77777777" w:rsidR="00F35C58" w:rsidRPr="000F39B0" w:rsidRDefault="00F35C58" w:rsidP="00F35C58">
                            <w:pPr>
                              <w:widowControl w:val="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For partial migration of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-node, the inter-donor HO of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-MT is decided and triggered by the donor CU serving the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-MT. </w:t>
                            </w:r>
                          </w:p>
                          <w:p w14:paraId="74B1A062" w14:textId="77777777" w:rsidR="00F35C58" w:rsidRPr="000F39B0" w:rsidRDefault="00F35C58" w:rsidP="00F35C58">
                            <w:pPr>
                              <w:widowControl w:val="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The donor CU serving the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-DU decides whether to execute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-DU migration or inter-donor F1 transport migration for the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-DU.</w:t>
                            </w:r>
                          </w:p>
                          <w:p w14:paraId="5D62D4E6" w14:textId="77777777" w:rsidR="00F35C58" w:rsidRPr="000F39B0" w:rsidRDefault="00F35C58" w:rsidP="00F35C58">
                            <w:pPr>
                              <w:widowControl w:val="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For inter-donor partial migration, the donor CU serving the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-DU is informed about the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-MT HO. FFS on signalling details concerning the indication.</w:t>
                            </w:r>
                          </w:p>
                          <w:p w14:paraId="338E5ACA" w14:textId="77777777" w:rsidR="00F35C58" w:rsidRPr="000F39B0" w:rsidRDefault="00F35C58" w:rsidP="00F35C58">
                            <w:pPr>
                              <w:widowControl w:val="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WA: The source donor CU for the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-MT HO provides to the donor CU serving the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-DU at least the:</w:t>
                            </w:r>
                          </w:p>
                          <w:p w14:paraId="773DCC0C" w14:textId="77777777" w:rsidR="00F35C58" w:rsidRPr="000F39B0" w:rsidRDefault="00F35C58" w:rsidP="00F35C58">
                            <w:pPr>
                              <w:widowControl w:val="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•</w:t>
                            </w:r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gNB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 ID of the target donor CU for the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-MT HO.</w:t>
                            </w:r>
                          </w:p>
                          <w:p w14:paraId="18C9F24E" w14:textId="77777777" w:rsidR="00F35C58" w:rsidRPr="000F39B0" w:rsidRDefault="00F35C58" w:rsidP="00F35C58">
                            <w:pPr>
                              <w:widowControl w:val="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•</w:t>
                            </w:r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ab/>
                              <w:t xml:space="preserve">ID(s) of the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-MT. How the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-MT ID is maintained across migrations needs to be further discussed</w:t>
                            </w:r>
                          </w:p>
                          <w:p w14:paraId="16615D40" w14:textId="77777777" w:rsidR="00F35C58" w:rsidRPr="000F39B0" w:rsidRDefault="00F35C58" w:rsidP="00F35C58">
                            <w:pPr>
                              <w:widowControl w:val="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•</w:t>
                            </w:r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ab/>
                              <w:t xml:space="preserve">FFS: the TNL address of the target donor CU for the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-MT HO. </w:t>
                            </w:r>
                          </w:p>
                          <w:p w14:paraId="30431B98" w14:textId="77777777" w:rsidR="00F35C58" w:rsidRPr="000F39B0" w:rsidRDefault="00F35C58" w:rsidP="00F35C58">
                            <w:pPr>
                              <w:widowControl w:val="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For partial migration of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-node, the donor CU serving the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-DU and the target donor CU for the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-MT HO can directly exchange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Xn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 IAB Transport Migration messages, in case direct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Xn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 connectivity exists (or is established) between the two donor CUs. </w:t>
                            </w:r>
                          </w:p>
                          <w:p w14:paraId="19866AAA" w14:textId="77777777" w:rsidR="00F35C58" w:rsidRPr="000F39B0" w:rsidRDefault="00F35C58" w:rsidP="00F35C58">
                            <w:pPr>
                              <w:widowControl w:val="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Focus first on the scenarios where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Xn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 and IP connectivity are available between the source and target donors for IAB-MT HO and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-DU migration. </w:t>
                            </w:r>
                          </w:p>
                          <w:p w14:paraId="54B6CA6E" w14:textId="77777777" w:rsidR="00F35C58" w:rsidRPr="000F39B0" w:rsidRDefault="00F35C58" w:rsidP="00F35C58">
                            <w:pPr>
                              <w:widowControl w:val="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RAN3 to discuss support of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-node mobility over NGAP. Which type of migration needs to be further discussed.</w:t>
                            </w:r>
                          </w:p>
                          <w:p w14:paraId="0380D387" w14:textId="77777777" w:rsidR="00F35C58" w:rsidRPr="000F39B0" w:rsidRDefault="00F35C58" w:rsidP="00F35C58">
                            <w:pPr>
                              <w:widowControl w:val="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To hand over the UEs between the logical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-DUs, the source donor CU for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-DU migration should be notified about the cell IDs served by the second (target) logical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-DU.</w:t>
                            </w:r>
                          </w:p>
                          <w:p w14:paraId="003F954C" w14:textId="77777777" w:rsidR="00F35C58" w:rsidRPr="000F39B0" w:rsidRDefault="00F35C58" w:rsidP="00F35C58">
                            <w:pPr>
                              <w:widowControl w:val="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The source donor CU for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-DU migration should be informed that the second logical </w:t>
                            </w:r>
                            <w:proofErr w:type="spellStart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-DU has successfully established an F1 connection towards the target CU. Details are FFS.</w:t>
                            </w:r>
                          </w:p>
                          <w:p w14:paraId="73E478A1" w14:textId="224F4161" w:rsidR="005361A0" w:rsidRPr="006F70C2" w:rsidRDefault="00F35C58" w:rsidP="00F35C5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360"/>
                              <w:contextualSpacing/>
                              <w:textAlignment w:val="baseline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</w:pPr>
                            <w:r w:rsidRPr="000F39B0">
                              <w:rPr>
                                <w:rFonts w:ascii="Calibri" w:eastAsia="等线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 xml:space="preserve">It can be further discussed which node provides information to the donor CU serving the </w:t>
                            </w:r>
                            <w:proofErr w:type="spellStart"/>
                            <w:r w:rsidRPr="000F39B0">
                              <w:rPr>
                                <w:rFonts w:ascii="Calibri" w:eastAsia="等线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0F39B0">
                              <w:rPr>
                                <w:rFonts w:ascii="Calibri" w:eastAsia="等线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>-DU</w:t>
                            </w:r>
                            <w:r>
                              <w:rPr>
                                <w:rFonts w:ascii="Calibri" w:eastAsia="等线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03F3E7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-2.05pt;margin-top:26.3pt;width:467.3pt;height:32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" fillcolor="white [3201]" strokeweight=".5pt">
                <v:textbox>
                  <w:txbxContent>
                    <w:p w14:paraId="42BA1BFD" w14:textId="77777777" w:rsidR="00F35C58" w:rsidRPr="000F39B0" w:rsidRDefault="00F35C58" w:rsidP="00F35C58">
                      <w:pPr>
                        <w:widowControl w:val="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-DU migration and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-MT handover can be executed independently from each other. Details on the scenarios need to be further discussed.</w:t>
                      </w:r>
                    </w:p>
                    <w:p w14:paraId="78D09358" w14:textId="77777777" w:rsidR="00F35C58" w:rsidRPr="000F39B0" w:rsidRDefault="00F35C58" w:rsidP="00F35C58">
                      <w:pPr>
                        <w:widowControl w:val="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For partial migration of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-node, the inter-donor HO of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-MT is decided and triggered by the donor CU serving the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-MT. </w:t>
                      </w:r>
                    </w:p>
                    <w:p w14:paraId="74B1A062" w14:textId="77777777" w:rsidR="00F35C58" w:rsidRPr="000F39B0" w:rsidRDefault="00F35C58" w:rsidP="00F35C58">
                      <w:pPr>
                        <w:widowControl w:val="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The donor CU serving the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-DU decides whether to execute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-DU migration or inter-donor F1 transport migration for the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-DU.</w:t>
                      </w:r>
                    </w:p>
                    <w:p w14:paraId="5D62D4E6" w14:textId="77777777" w:rsidR="00F35C58" w:rsidRPr="000F39B0" w:rsidRDefault="00F35C58" w:rsidP="00F35C58">
                      <w:pPr>
                        <w:widowControl w:val="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For inter-donor partial migration, the donor CU serving the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-DU is informed about the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-MT HO. FFS on signalling details concerning the indication.</w:t>
                      </w:r>
                    </w:p>
                    <w:p w14:paraId="338E5ACA" w14:textId="77777777" w:rsidR="00F35C58" w:rsidRPr="000F39B0" w:rsidRDefault="00F35C58" w:rsidP="00F35C58">
                      <w:pPr>
                        <w:widowControl w:val="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WA: The source donor CU for the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-MT HO provides to the donor CU serving the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-DU at least the:</w:t>
                      </w:r>
                    </w:p>
                    <w:p w14:paraId="773DCC0C" w14:textId="77777777" w:rsidR="00F35C58" w:rsidRPr="000F39B0" w:rsidRDefault="00F35C58" w:rsidP="00F35C58">
                      <w:pPr>
                        <w:widowControl w:val="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•</w:t>
                      </w:r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ab/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gNB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 ID of the target donor CU for the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-MT HO.</w:t>
                      </w:r>
                    </w:p>
                    <w:p w14:paraId="18C9F24E" w14:textId="77777777" w:rsidR="00F35C58" w:rsidRPr="000F39B0" w:rsidRDefault="00F35C58" w:rsidP="00F35C58">
                      <w:pPr>
                        <w:widowControl w:val="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•</w:t>
                      </w:r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ab/>
                        <w:t xml:space="preserve">ID(s) of the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-MT. How the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-MT ID is maintained across migrations needs to be further discussed</w:t>
                      </w:r>
                    </w:p>
                    <w:p w14:paraId="16615D40" w14:textId="77777777" w:rsidR="00F35C58" w:rsidRPr="000F39B0" w:rsidRDefault="00F35C58" w:rsidP="00F35C58">
                      <w:pPr>
                        <w:widowControl w:val="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•</w:t>
                      </w:r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ab/>
                        <w:t xml:space="preserve">FFS: the TNL address of the target donor CU for the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-MT HO. </w:t>
                      </w:r>
                    </w:p>
                    <w:p w14:paraId="30431B98" w14:textId="77777777" w:rsidR="00F35C58" w:rsidRPr="000F39B0" w:rsidRDefault="00F35C58" w:rsidP="00F35C58">
                      <w:pPr>
                        <w:widowControl w:val="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For partial migration of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-node, the donor CU serving the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-DU and the target donor CU for the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-MT HO can directly exchange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Xn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 IAB Transport Migration messages, in case direct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Xn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 connectivity exists (or is established) between the two donor CUs. </w:t>
                      </w:r>
                    </w:p>
                    <w:p w14:paraId="19866AAA" w14:textId="77777777" w:rsidR="00F35C58" w:rsidRPr="000F39B0" w:rsidRDefault="00F35C58" w:rsidP="00F35C58">
                      <w:pPr>
                        <w:widowControl w:val="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Focus first on the scenarios where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Xn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 and IP connectivity are available between the source and target donors for IAB-MT HO and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-DU migration. </w:t>
                      </w:r>
                    </w:p>
                    <w:p w14:paraId="54B6CA6E" w14:textId="77777777" w:rsidR="00F35C58" w:rsidRPr="000F39B0" w:rsidRDefault="00F35C58" w:rsidP="00F35C58">
                      <w:pPr>
                        <w:widowControl w:val="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RAN3 to discuss support of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-node mobility over NGAP. Which type of migration needs to be further discussed.</w:t>
                      </w:r>
                    </w:p>
                    <w:p w14:paraId="0380D387" w14:textId="77777777" w:rsidR="00F35C58" w:rsidRPr="000F39B0" w:rsidRDefault="00F35C58" w:rsidP="00F35C58">
                      <w:pPr>
                        <w:widowControl w:val="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To hand over the UEs between the logical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-DUs, the source donor CU for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-DU migration should be notified about the cell IDs served by the second (target) logical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-DU.</w:t>
                      </w:r>
                    </w:p>
                    <w:p w14:paraId="003F954C" w14:textId="77777777" w:rsidR="00F35C58" w:rsidRPr="000F39B0" w:rsidRDefault="00F35C58" w:rsidP="00F35C58">
                      <w:pPr>
                        <w:widowControl w:val="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The source donor CU for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-DU migration should be informed that the second logical </w:t>
                      </w:r>
                      <w:proofErr w:type="spellStart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-DU has successfully established an F1 connection towards the target CU. Details are FFS.</w:t>
                      </w:r>
                    </w:p>
                    <w:p w14:paraId="73E478A1" w14:textId="224F4161" w:rsidR="005361A0" w:rsidRPr="006F70C2" w:rsidRDefault="00F35C58" w:rsidP="00F35C5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360"/>
                        <w:contextualSpacing/>
                        <w:textAlignment w:val="baseline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</w:pPr>
                      <w:r w:rsidRPr="000F39B0">
                        <w:rPr>
                          <w:rFonts w:ascii="Calibri" w:eastAsia="等线" w:hAnsi="Calibri" w:cs="Calibri"/>
                          <w:i/>
                          <w:color w:val="FF0000"/>
                          <w:sz w:val="16"/>
                          <w:szCs w:val="16"/>
                        </w:rPr>
                        <w:t xml:space="preserve">It can be further discussed which node provides information to the donor CU serving the </w:t>
                      </w:r>
                      <w:proofErr w:type="spellStart"/>
                      <w:r w:rsidRPr="000F39B0">
                        <w:rPr>
                          <w:rFonts w:ascii="Calibri" w:eastAsia="等线" w:hAnsi="Calibri" w:cs="Calibri"/>
                          <w:i/>
                          <w:color w:val="FF0000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0F39B0">
                        <w:rPr>
                          <w:rFonts w:ascii="Calibri" w:eastAsia="等线" w:hAnsi="Calibri" w:cs="Calibri"/>
                          <w:i/>
                          <w:color w:val="FF0000"/>
                          <w:sz w:val="16"/>
                          <w:szCs w:val="16"/>
                        </w:rPr>
                        <w:t>-DU</w:t>
                      </w:r>
                      <w:r>
                        <w:rPr>
                          <w:rFonts w:ascii="Calibri" w:eastAsia="等线" w:hAnsi="Calibri" w:cs="Calibri"/>
                          <w:i/>
                          <w:color w:val="FF0000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0147B">
        <w:t xml:space="preserve">In this contribution, we’d like to discuss the </w:t>
      </w:r>
      <w:r w:rsidR="00307733">
        <w:t xml:space="preserve">support of the IAB-node mobility based on the following agreement in the </w:t>
      </w:r>
    </w:p>
    <w:p w14:paraId="021F998B" w14:textId="40D78A67" w:rsidR="00800860" w:rsidRDefault="00755770" w:rsidP="00CD4C7B">
      <w:r>
        <w:t>In</w:t>
      </w:r>
      <w:r w:rsidR="00800860">
        <w:t xml:space="preserve"> this contribution, the following aspects are discussed.</w:t>
      </w:r>
    </w:p>
    <w:p w14:paraId="3A07BB18" w14:textId="6E43231D" w:rsidR="00800860" w:rsidRDefault="00800860" w:rsidP="00CD4C7B">
      <w:r>
        <w:t xml:space="preserve">- </w:t>
      </w:r>
      <w:r w:rsidR="007528F5">
        <w:t xml:space="preserve">Scenarios for </w:t>
      </w:r>
      <w:proofErr w:type="spellStart"/>
      <w:r w:rsidR="007528F5">
        <w:t>mIAB</w:t>
      </w:r>
      <w:proofErr w:type="spellEnd"/>
      <w:r w:rsidR="007528F5">
        <w:t>-DU migration</w:t>
      </w:r>
    </w:p>
    <w:p w14:paraId="5F085886" w14:textId="679C442E" w:rsidR="006F70C2" w:rsidRDefault="006F70C2" w:rsidP="00CD4C7B">
      <w:r>
        <w:t xml:space="preserve">- </w:t>
      </w:r>
      <w:r w:rsidR="007528F5" w:rsidRPr="007528F5">
        <w:t>IAB-DU migration</w:t>
      </w:r>
    </w:p>
    <w:p w14:paraId="677B4DFE" w14:textId="054339B9" w:rsidR="00307733" w:rsidRDefault="00800860" w:rsidP="00CD4C7B">
      <w:r>
        <w:t xml:space="preserve">- </w:t>
      </w:r>
      <w:r w:rsidR="007528F5" w:rsidRPr="007528F5">
        <w:t>IAB mobility over NGAP</w:t>
      </w:r>
    </w:p>
    <w:p w14:paraId="479DA40B" w14:textId="77777777" w:rsidR="00CD4C7B" w:rsidRPr="006E13D1" w:rsidRDefault="00CD4C7B" w:rsidP="00CD4C7B">
      <w:pPr>
        <w:pStyle w:val="1"/>
      </w:pPr>
      <w:r w:rsidRPr="006E13D1">
        <w:lastRenderedPageBreak/>
        <w:t>2</w:t>
      </w:r>
      <w:r w:rsidRPr="006E13D1">
        <w:tab/>
      </w:r>
      <w:r w:rsidR="00972FD7">
        <w:t>Discussion</w:t>
      </w:r>
    </w:p>
    <w:p w14:paraId="42DFD04E" w14:textId="6BC45665" w:rsidR="00FA5EEC" w:rsidRPr="00386801" w:rsidRDefault="005F1BD4" w:rsidP="00386801">
      <w:pPr>
        <w:pStyle w:val="2"/>
      </w:pPr>
      <w:bookmarkStart w:id="1" w:name="_Hlk109747344"/>
      <w:r>
        <w:t>2.1</w:t>
      </w:r>
      <w:r>
        <w:tab/>
      </w:r>
      <w:r w:rsidR="00FA5EEC">
        <w:t>Scenario</w:t>
      </w:r>
      <w:r w:rsidR="00ED06A6">
        <w:t xml:space="preserve">s for </w:t>
      </w:r>
      <w:proofErr w:type="spellStart"/>
      <w:r w:rsidR="00997D5B">
        <w:t>m</w:t>
      </w:r>
      <w:r w:rsidR="00ED06A6">
        <w:t>IAB</w:t>
      </w:r>
      <w:proofErr w:type="spellEnd"/>
      <w:r w:rsidR="00ED06A6">
        <w:t>-DU migration</w:t>
      </w:r>
    </w:p>
    <w:p w14:paraId="12A7623B" w14:textId="4CA68E6F" w:rsidR="00FA5EEC" w:rsidRDefault="007E1F12" w:rsidP="004E6C01">
      <w:pPr>
        <w:rPr>
          <w:szCs w:val="21"/>
        </w:rPr>
      </w:pPr>
      <w:r>
        <w:rPr>
          <w:szCs w:val="21"/>
        </w:rPr>
        <w:t xml:space="preserve">In </w:t>
      </w:r>
      <w:r w:rsidR="00FA5EEC">
        <w:rPr>
          <w:szCs w:val="21"/>
        </w:rPr>
        <w:t>RAN3 117</w:t>
      </w:r>
      <w:r w:rsidR="006C4235">
        <w:rPr>
          <w:szCs w:val="21"/>
        </w:rPr>
        <w:t>bis-</w:t>
      </w:r>
      <w:r w:rsidR="00FA5EEC">
        <w:rPr>
          <w:szCs w:val="21"/>
        </w:rPr>
        <w:t xml:space="preserve">e meeting, the following </w:t>
      </w:r>
      <w:r w:rsidR="00552076">
        <w:rPr>
          <w:szCs w:val="21"/>
        </w:rPr>
        <w:t>agreement</w:t>
      </w:r>
      <w:r w:rsidR="00FA5EEC">
        <w:rPr>
          <w:szCs w:val="21"/>
        </w:rPr>
        <w:t xml:space="preserve"> had been </w:t>
      </w:r>
      <w:r w:rsidR="00552076">
        <w:rPr>
          <w:szCs w:val="21"/>
        </w:rPr>
        <w:t>made</w:t>
      </w:r>
      <w:r w:rsidR="00D862C5">
        <w:rPr>
          <w:szCs w:val="21"/>
        </w:rPr>
        <w:t>.</w:t>
      </w:r>
    </w:p>
    <w:p w14:paraId="10C97607" w14:textId="77777777" w:rsidR="006C4235" w:rsidRPr="006C4235" w:rsidRDefault="006C4235" w:rsidP="006C4235">
      <w:pPr>
        <w:widowControl w:val="0"/>
        <w:rPr>
          <w:rFonts w:ascii="Calibri" w:hAnsi="Calibri" w:cs="Calibri"/>
          <w:b/>
          <w:i/>
          <w:iCs/>
          <w:color w:val="00B050"/>
          <w:kern w:val="2"/>
          <w:szCs w:val="16"/>
        </w:rPr>
      </w:pPr>
      <w:proofErr w:type="spellStart"/>
      <w:r w:rsidRPr="006C4235">
        <w:rPr>
          <w:rFonts w:ascii="Calibri" w:hAnsi="Calibri" w:cs="Calibri"/>
          <w:b/>
          <w:i/>
          <w:iCs/>
          <w:color w:val="00B050"/>
          <w:kern w:val="2"/>
          <w:szCs w:val="16"/>
        </w:rPr>
        <w:t>mIAB</w:t>
      </w:r>
      <w:proofErr w:type="spellEnd"/>
      <w:r w:rsidRPr="006C4235">
        <w:rPr>
          <w:rFonts w:ascii="Calibri" w:hAnsi="Calibri" w:cs="Calibri"/>
          <w:b/>
          <w:i/>
          <w:iCs/>
          <w:color w:val="00B050"/>
          <w:kern w:val="2"/>
          <w:szCs w:val="16"/>
        </w:rPr>
        <w:t xml:space="preserve">-DU migration and </w:t>
      </w:r>
      <w:proofErr w:type="spellStart"/>
      <w:r w:rsidRPr="006C4235">
        <w:rPr>
          <w:rFonts w:ascii="Calibri" w:hAnsi="Calibri" w:cs="Calibri"/>
          <w:b/>
          <w:i/>
          <w:iCs/>
          <w:color w:val="00B050"/>
          <w:kern w:val="2"/>
          <w:szCs w:val="16"/>
        </w:rPr>
        <w:t>mIAB</w:t>
      </w:r>
      <w:proofErr w:type="spellEnd"/>
      <w:r w:rsidRPr="006C4235">
        <w:rPr>
          <w:rFonts w:ascii="Calibri" w:hAnsi="Calibri" w:cs="Calibri"/>
          <w:b/>
          <w:i/>
          <w:iCs/>
          <w:color w:val="00B050"/>
          <w:kern w:val="2"/>
          <w:szCs w:val="16"/>
        </w:rPr>
        <w:t>-MT handover can be executed independently from each other. Details on the scenarios need to be further discussed.</w:t>
      </w:r>
    </w:p>
    <w:p w14:paraId="6DB85C53" w14:textId="1E914CAF" w:rsidR="00552076" w:rsidRDefault="00552076" w:rsidP="004E6C01">
      <w:pPr>
        <w:rPr>
          <w:szCs w:val="21"/>
        </w:rPr>
      </w:pPr>
      <w:r>
        <w:rPr>
          <w:szCs w:val="21"/>
        </w:rPr>
        <w:t xml:space="preserve">In our view, </w:t>
      </w:r>
      <w:proofErr w:type="spellStart"/>
      <w:r>
        <w:rPr>
          <w:szCs w:val="21"/>
        </w:rPr>
        <w:t>mIAB</w:t>
      </w:r>
      <w:proofErr w:type="spellEnd"/>
      <w:r>
        <w:rPr>
          <w:szCs w:val="21"/>
        </w:rPr>
        <w:t xml:space="preserve">-DU migration and </w:t>
      </w:r>
      <w:proofErr w:type="spellStart"/>
      <w:r>
        <w:rPr>
          <w:szCs w:val="21"/>
        </w:rPr>
        <w:t>mIAB</w:t>
      </w:r>
      <w:proofErr w:type="spellEnd"/>
      <w:r>
        <w:rPr>
          <w:szCs w:val="21"/>
        </w:rPr>
        <w:t>-MT handover can be executed independently from each other only for the following the scenarios:</w:t>
      </w:r>
    </w:p>
    <w:p w14:paraId="5517A2C2" w14:textId="5130DADF" w:rsidR="00D862C5" w:rsidRPr="00D862C5" w:rsidRDefault="00D862C5" w:rsidP="00D862C5">
      <w:pPr>
        <w:pStyle w:val="a9"/>
        <w:numPr>
          <w:ilvl w:val="0"/>
          <w:numId w:val="15"/>
        </w:numPr>
        <w:spacing w:line="360" w:lineRule="auto"/>
        <w:ind w:leftChars="0" w:left="714" w:hanging="357"/>
        <w:rPr>
          <w:rFonts w:ascii="Times New Roman" w:hAnsi="Times New Roman"/>
          <w:sz w:val="20"/>
          <w:szCs w:val="21"/>
        </w:rPr>
      </w:pPr>
      <w:r w:rsidRPr="00D862C5">
        <w:rPr>
          <w:rFonts w:ascii="Times New Roman" w:hAnsi="Times New Roman"/>
          <w:sz w:val="20"/>
          <w:szCs w:val="21"/>
        </w:rPr>
        <w:t xml:space="preserve">Scenario 1, mobile IAB-MT </w:t>
      </w:r>
      <w:r w:rsidR="00552076">
        <w:rPr>
          <w:rFonts w:ascii="Times New Roman" w:hAnsi="Times New Roman"/>
          <w:sz w:val="20"/>
          <w:szCs w:val="21"/>
        </w:rPr>
        <w:t xml:space="preserve">handover from source donor CU of the IAB-MT to the target donor CU of the IAB-MT, while the serving donor CU of the </w:t>
      </w:r>
      <w:proofErr w:type="spellStart"/>
      <w:r w:rsidR="00552076">
        <w:rPr>
          <w:rFonts w:ascii="Times New Roman" w:hAnsi="Times New Roman"/>
          <w:sz w:val="20"/>
          <w:szCs w:val="21"/>
        </w:rPr>
        <w:t>mIAB</w:t>
      </w:r>
      <w:proofErr w:type="spellEnd"/>
      <w:r w:rsidR="00552076">
        <w:rPr>
          <w:rFonts w:ascii="Times New Roman" w:hAnsi="Times New Roman"/>
          <w:sz w:val="20"/>
          <w:szCs w:val="21"/>
        </w:rPr>
        <w:t>-DU remains the same</w:t>
      </w:r>
      <w:r w:rsidRPr="00D862C5">
        <w:rPr>
          <w:rFonts w:ascii="Times New Roman" w:hAnsi="Times New Roman"/>
          <w:sz w:val="20"/>
          <w:szCs w:val="21"/>
        </w:rPr>
        <w:t>, i.e. partial migration (supported in R17)</w:t>
      </w:r>
    </w:p>
    <w:p w14:paraId="303C5EFC" w14:textId="0F6E4631" w:rsidR="00D862C5" w:rsidRDefault="00D862C5" w:rsidP="00D862C5">
      <w:pPr>
        <w:pStyle w:val="a9"/>
        <w:numPr>
          <w:ilvl w:val="0"/>
          <w:numId w:val="15"/>
        </w:numPr>
        <w:spacing w:line="360" w:lineRule="auto"/>
        <w:ind w:leftChars="0" w:left="714" w:hanging="357"/>
        <w:rPr>
          <w:rFonts w:ascii="Times New Roman" w:hAnsi="Times New Roman"/>
          <w:sz w:val="20"/>
          <w:szCs w:val="21"/>
        </w:rPr>
      </w:pPr>
      <w:r w:rsidRPr="00D862C5">
        <w:rPr>
          <w:rFonts w:ascii="Times New Roman" w:hAnsi="Times New Roman"/>
          <w:sz w:val="20"/>
          <w:szCs w:val="21"/>
        </w:rPr>
        <w:t xml:space="preserve">Scenario 2, mobile IAB-DU </w:t>
      </w:r>
      <w:r w:rsidR="00552076">
        <w:rPr>
          <w:rFonts w:ascii="Times New Roman" w:hAnsi="Times New Roman"/>
          <w:sz w:val="20"/>
          <w:szCs w:val="21"/>
        </w:rPr>
        <w:t xml:space="preserve">migrates from the source donor CU of the </w:t>
      </w:r>
      <w:proofErr w:type="spellStart"/>
      <w:r w:rsidR="00ED06A6">
        <w:rPr>
          <w:rFonts w:ascii="Times New Roman" w:hAnsi="Times New Roman"/>
          <w:sz w:val="20"/>
          <w:szCs w:val="21"/>
        </w:rPr>
        <w:t>m</w:t>
      </w:r>
      <w:r w:rsidR="00552076">
        <w:rPr>
          <w:rFonts w:ascii="Times New Roman" w:hAnsi="Times New Roman"/>
          <w:sz w:val="20"/>
          <w:szCs w:val="21"/>
        </w:rPr>
        <w:t>IAB</w:t>
      </w:r>
      <w:proofErr w:type="spellEnd"/>
      <w:r w:rsidR="00552076">
        <w:rPr>
          <w:rFonts w:ascii="Times New Roman" w:hAnsi="Times New Roman"/>
          <w:sz w:val="20"/>
          <w:szCs w:val="21"/>
        </w:rPr>
        <w:t xml:space="preserve">-DU to the target donor CU, and the target donor CU is the donor CU that serves the </w:t>
      </w:r>
      <w:proofErr w:type="spellStart"/>
      <w:r w:rsidR="00552076">
        <w:rPr>
          <w:rFonts w:ascii="Times New Roman" w:hAnsi="Times New Roman"/>
          <w:sz w:val="20"/>
          <w:szCs w:val="21"/>
        </w:rPr>
        <w:t>mIAB</w:t>
      </w:r>
      <w:proofErr w:type="spellEnd"/>
      <w:r w:rsidR="00552076">
        <w:rPr>
          <w:rFonts w:ascii="Times New Roman" w:hAnsi="Times New Roman"/>
          <w:sz w:val="20"/>
          <w:szCs w:val="21"/>
        </w:rPr>
        <w:t>-MT.</w:t>
      </w:r>
    </w:p>
    <w:p w14:paraId="309FDE0B" w14:textId="4D5D8087" w:rsidR="00552076" w:rsidRPr="00552076" w:rsidRDefault="00552076" w:rsidP="00552076">
      <w:pPr>
        <w:spacing w:line="360" w:lineRule="auto"/>
        <w:rPr>
          <w:szCs w:val="21"/>
        </w:rPr>
      </w:pPr>
      <w:r>
        <w:rPr>
          <w:szCs w:val="21"/>
        </w:rPr>
        <w:t>For the scenario</w:t>
      </w:r>
      <w:r w:rsidR="00ED06A6">
        <w:rPr>
          <w:szCs w:val="21"/>
        </w:rPr>
        <w:t xml:space="preserve"> if the target donor CU of the </w:t>
      </w:r>
      <w:proofErr w:type="spellStart"/>
      <w:r w:rsidR="00ED06A6">
        <w:rPr>
          <w:szCs w:val="21"/>
        </w:rPr>
        <w:t>mIAB</w:t>
      </w:r>
      <w:proofErr w:type="spellEnd"/>
      <w:r w:rsidR="00ED06A6">
        <w:rPr>
          <w:szCs w:val="21"/>
        </w:rPr>
        <w:t xml:space="preserve">-DU is different from the donor CU shat serves the collocated </w:t>
      </w:r>
      <w:proofErr w:type="spellStart"/>
      <w:r w:rsidR="00ED06A6">
        <w:rPr>
          <w:szCs w:val="21"/>
        </w:rPr>
        <w:t>mIAB</w:t>
      </w:r>
      <w:proofErr w:type="spellEnd"/>
      <w:r w:rsidR="00ED06A6">
        <w:rPr>
          <w:szCs w:val="21"/>
        </w:rPr>
        <w:t>-MT,</w:t>
      </w:r>
      <w:r>
        <w:rPr>
          <w:szCs w:val="21"/>
        </w:rPr>
        <w:t xml:space="preserve"> </w:t>
      </w:r>
      <w:r w:rsidR="00ED06A6">
        <w:rPr>
          <w:szCs w:val="21"/>
        </w:rPr>
        <w:t xml:space="preserve">we think it will bring more issues and complexities and we don’t see any benefits. </w:t>
      </w:r>
    </w:p>
    <w:p w14:paraId="525457A4" w14:textId="5BB578AF" w:rsidR="00D563CF" w:rsidRPr="00D862C5" w:rsidRDefault="00D563CF" w:rsidP="004E6C01">
      <w:pPr>
        <w:rPr>
          <w:b/>
          <w:szCs w:val="21"/>
        </w:rPr>
      </w:pPr>
      <w:r w:rsidRPr="00D862C5">
        <w:rPr>
          <w:b/>
          <w:szCs w:val="21"/>
        </w:rPr>
        <w:t>Proposal</w:t>
      </w:r>
      <w:r w:rsidR="006F70C2">
        <w:rPr>
          <w:b/>
          <w:szCs w:val="21"/>
        </w:rPr>
        <w:t xml:space="preserve"> 1</w:t>
      </w:r>
      <w:r w:rsidRPr="00D862C5">
        <w:rPr>
          <w:b/>
          <w:szCs w:val="21"/>
        </w:rPr>
        <w:t xml:space="preserve">, </w:t>
      </w:r>
      <w:r w:rsidR="00ED06A6">
        <w:rPr>
          <w:b/>
          <w:szCs w:val="21"/>
        </w:rPr>
        <w:t xml:space="preserve">for </w:t>
      </w:r>
      <w:proofErr w:type="spellStart"/>
      <w:r w:rsidR="00ED06A6">
        <w:rPr>
          <w:rFonts w:hint="eastAsia"/>
          <w:b/>
          <w:szCs w:val="21"/>
          <w:lang w:eastAsia="zh-CN"/>
        </w:rPr>
        <w:t>m</w:t>
      </w:r>
      <w:r w:rsidR="00ED06A6">
        <w:rPr>
          <w:b/>
          <w:szCs w:val="21"/>
        </w:rPr>
        <w:t>IAB</w:t>
      </w:r>
      <w:proofErr w:type="spellEnd"/>
      <w:r w:rsidR="00ED06A6">
        <w:rPr>
          <w:b/>
          <w:szCs w:val="21"/>
        </w:rPr>
        <w:t xml:space="preserve">-DU migration, </w:t>
      </w:r>
      <w:r w:rsidR="00997D5B">
        <w:rPr>
          <w:b/>
          <w:szCs w:val="21"/>
          <w:lang w:val="en-US"/>
        </w:rPr>
        <w:t xml:space="preserve">the scenario that </w:t>
      </w:r>
      <w:r w:rsidR="00ED06A6">
        <w:rPr>
          <w:b/>
          <w:szCs w:val="21"/>
        </w:rPr>
        <w:t xml:space="preserve">the target donor CU of the </w:t>
      </w:r>
      <w:proofErr w:type="spellStart"/>
      <w:r w:rsidR="00ED06A6">
        <w:rPr>
          <w:rFonts w:hint="eastAsia"/>
          <w:b/>
          <w:szCs w:val="21"/>
          <w:lang w:eastAsia="zh-CN"/>
        </w:rPr>
        <w:t>m</w:t>
      </w:r>
      <w:r w:rsidR="00ED06A6">
        <w:rPr>
          <w:b/>
          <w:szCs w:val="21"/>
        </w:rPr>
        <w:t>IAB</w:t>
      </w:r>
      <w:proofErr w:type="spellEnd"/>
      <w:r w:rsidR="00ED06A6">
        <w:rPr>
          <w:b/>
          <w:szCs w:val="21"/>
        </w:rPr>
        <w:t xml:space="preserve">-DU </w:t>
      </w:r>
      <w:r w:rsidR="00997D5B">
        <w:rPr>
          <w:b/>
          <w:szCs w:val="21"/>
        </w:rPr>
        <w:t>is</w:t>
      </w:r>
      <w:r w:rsidR="00ED06A6">
        <w:rPr>
          <w:b/>
          <w:szCs w:val="21"/>
        </w:rPr>
        <w:t xml:space="preserve"> the same as the </w:t>
      </w:r>
      <w:r w:rsidR="00997D5B">
        <w:rPr>
          <w:b/>
          <w:szCs w:val="21"/>
        </w:rPr>
        <w:t xml:space="preserve">serving donor CU of the </w:t>
      </w:r>
      <w:proofErr w:type="spellStart"/>
      <w:r w:rsidR="00997D5B">
        <w:rPr>
          <w:b/>
          <w:szCs w:val="21"/>
        </w:rPr>
        <w:t>mIAB</w:t>
      </w:r>
      <w:proofErr w:type="spellEnd"/>
      <w:r w:rsidR="00997D5B">
        <w:rPr>
          <w:b/>
          <w:szCs w:val="21"/>
        </w:rPr>
        <w:t xml:space="preserve">-MT </w:t>
      </w:r>
      <w:r w:rsidR="006B75FF">
        <w:rPr>
          <w:b/>
          <w:szCs w:val="21"/>
        </w:rPr>
        <w:t>can</w:t>
      </w:r>
      <w:r w:rsidR="00997D5B">
        <w:rPr>
          <w:b/>
          <w:szCs w:val="21"/>
        </w:rPr>
        <w:t xml:space="preserve"> be supported in R18.</w:t>
      </w:r>
    </w:p>
    <w:p w14:paraId="4E53A5D6" w14:textId="397D73F8" w:rsidR="00D563CF" w:rsidRPr="00D862C5" w:rsidRDefault="00D563CF" w:rsidP="004E6C01">
      <w:pPr>
        <w:rPr>
          <w:b/>
          <w:szCs w:val="21"/>
          <w:lang w:val="en-US"/>
        </w:rPr>
      </w:pPr>
      <w:r w:rsidRPr="00D862C5">
        <w:rPr>
          <w:b/>
          <w:szCs w:val="21"/>
          <w:lang w:val="en-US"/>
        </w:rPr>
        <w:t>Proposal</w:t>
      </w:r>
      <w:r w:rsidR="006F70C2">
        <w:rPr>
          <w:b/>
          <w:szCs w:val="21"/>
          <w:lang w:val="en-US"/>
        </w:rPr>
        <w:t xml:space="preserve"> 2</w:t>
      </w:r>
      <w:r w:rsidRPr="00D862C5">
        <w:rPr>
          <w:b/>
          <w:szCs w:val="21"/>
          <w:lang w:val="en-US"/>
        </w:rPr>
        <w:t xml:space="preserve">, </w:t>
      </w:r>
      <w:r w:rsidR="00997D5B">
        <w:rPr>
          <w:b/>
          <w:szCs w:val="21"/>
          <w:lang w:val="en-US"/>
        </w:rPr>
        <w:t xml:space="preserve">for </w:t>
      </w:r>
      <w:proofErr w:type="spellStart"/>
      <w:r w:rsidR="00997D5B">
        <w:rPr>
          <w:b/>
          <w:szCs w:val="21"/>
          <w:lang w:val="en-US"/>
        </w:rPr>
        <w:t>mIAB</w:t>
      </w:r>
      <w:proofErr w:type="spellEnd"/>
      <w:r w:rsidR="00997D5B">
        <w:rPr>
          <w:b/>
          <w:szCs w:val="21"/>
          <w:lang w:val="en-US"/>
        </w:rPr>
        <w:t xml:space="preserve">-DU migration, the scenario that the target donor CU of the is different from the serving donor CU of the </w:t>
      </w:r>
      <w:proofErr w:type="spellStart"/>
      <w:r w:rsidR="00997D5B">
        <w:rPr>
          <w:b/>
          <w:szCs w:val="21"/>
          <w:lang w:val="en-US"/>
        </w:rPr>
        <w:t>mIAB</w:t>
      </w:r>
      <w:proofErr w:type="spellEnd"/>
      <w:r w:rsidR="00997D5B">
        <w:rPr>
          <w:b/>
          <w:szCs w:val="21"/>
          <w:lang w:val="en-US"/>
        </w:rPr>
        <w:t xml:space="preserve">-MT is not </w:t>
      </w:r>
      <w:r w:rsidR="00997D5B" w:rsidRPr="00997D5B">
        <w:rPr>
          <w:b/>
          <w:szCs w:val="21"/>
          <w:lang w:val="en-US"/>
        </w:rPr>
        <w:t>pursue</w:t>
      </w:r>
      <w:r w:rsidR="00997D5B">
        <w:rPr>
          <w:b/>
          <w:szCs w:val="21"/>
          <w:lang w:val="en-US"/>
        </w:rPr>
        <w:t xml:space="preserve">d in R18. </w:t>
      </w:r>
    </w:p>
    <w:p w14:paraId="7355E9EB" w14:textId="69CBCF46" w:rsidR="00D862C5" w:rsidRPr="00386801" w:rsidRDefault="00D862C5" w:rsidP="00431A24">
      <w:pPr>
        <w:pStyle w:val="2"/>
      </w:pPr>
      <w:r>
        <w:t>2.</w:t>
      </w:r>
      <w:r w:rsidR="005D5A45">
        <w:t>2</w:t>
      </w:r>
      <w:r>
        <w:tab/>
      </w:r>
      <w:r w:rsidR="00997D5B" w:rsidRPr="00997D5B">
        <w:t>IAB-DU migration</w:t>
      </w:r>
    </w:p>
    <w:p w14:paraId="0CE53BB3" w14:textId="7317D1FA" w:rsidR="00997D5B" w:rsidRDefault="00D862C5" w:rsidP="004E6C01">
      <w:pPr>
        <w:rPr>
          <w:szCs w:val="21"/>
        </w:rPr>
      </w:pPr>
      <w:r>
        <w:rPr>
          <w:szCs w:val="21"/>
        </w:rPr>
        <w:t>In RAN3 117</w:t>
      </w:r>
      <w:r w:rsidR="00997D5B">
        <w:rPr>
          <w:szCs w:val="21"/>
        </w:rPr>
        <w:t>bis-</w:t>
      </w:r>
      <w:r>
        <w:rPr>
          <w:szCs w:val="21"/>
        </w:rPr>
        <w:t xml:space="preserve">e </w:t>
      </w:r>
      <w:r w:rsidR="00997D5B">
        <w:rPr>
          <w:szCs w:val="21"/>
        </w:rPr>
        <w:t xml:space="preserve">meeting, RAN3 agreed </w:t>
      </w:r>
      <w:r w:rsidR="00997D5B" w:rsidRPr="00997D5B">
        <w:rPr>
          <w:rFonts w:ascii="Calibri" w:hAnsi="Calibri" w:cs="Calibri"/>
          <w:b/>
          <w:i/>
          <w:iCs/>
          <w:color w:val="00B050"/>
          <w:kern w:val="2"/>
          <w:sz w:val="18"/>
          <w:szCs w:val="16"/>
        </w:rPr>
        <w:t xml:space="preserve">the donor CU serving the </w:t>
      </w:r>
      <w:proofErr w:type="spellStart"/>
      <w:r w:rsidR="00997D5B" w:rsidRPr="00997D5B">
        <w:rPr>
          <w:rFonts w:ascii="Calibri" w:hAnsi="Calibri" w:cs="Calibri"/>
          <w:b/>
          <w:i/>
          <w:iCs/>
          <w:color w:val="00B050"/>
          <w:kern w:val="2"/>
          <w:sz w:val="18"/>
          <w:szCs w:val="16"/>
        </w:rPr>
        <w:t>mIAB</w:t>
      </w:r>
      <w:proofErr w:type="spellEnd"/>
      <w:r w:rsidR="00997D5B" w:rsidRPr="00997D5B">
        <w:rPr>
          <w:rFonts w:ascii="Calibri" w:hAnsi="Calibri" w:cs="Calibri"/>
          <w:b/>
          <w:i/>
          <w:iCs/>
          <w:color w:val="00B050"/>
          <w:kern w:val="2"/>
          <w:sz w:val="18"/>
          <w:szCs w:val="16"/>
        </w:rPr>
        <w:t xml:space="preserve">-DU decides whether to execute </w:t>
      </w:r>
      <w:proofErr w:type="spellStart"/>
      <w:r w:rsidR="00997D5B" w:rsidRPr="00997D5B">
        <w:rPr>
          <w:rFonts w:ascii="Calibri" w:hAnsi="Calibri" w:cs="Calibri"/>
          <w:b/>
          <w:i/>
          <w:iCs/>
          <w:color w:val="00B050"/>
          <w:kern w:val="2"/>
          <w:sz w:val="18"/>
          <w:szCs w:val="16"/>
        </w:rPr>
        <w:t>mIAB</w:t>
      </w:r>
      <w:proofErr w:type="spellEnd"/>
      <w:r w:rsidR="00997D5B" w:rsidRPr="00997D5B">
        <w:rPr>
          <w:rFonts w:ascii="Calibri" w:hAnsi="Calibri" w:cs="Calibri"/>
          <w:b/>
          <w:i/>
          <w:iCs/>
          <w:color w:val="00B050"/>
          <w:kern w:val="2"/>
          <w:sz w:val="18"/>
          <w:szCs w:val="16"/>
        </w:rPr>
        <w:t xml:space="preserve">-DU migration or inter-donor F1 transport migration for the </w:t>
      </w:r>
      <w:proofErr w:type="spellStart"/>
      <w:r w:rsidR="00997D5B" w:rsidRPr="00997D5B">
        <w:rPr>
          <w:rFonts w:ascii="Calibri" w:hAnsi="Calibri" w:cs="Calibri"/>
          <w:b/>
          <w:i/>
          <w:iCs/>
          <w:color w:val="00B050"/>
          <w:kern w:val="2"/>
          <w:sz w:val="18"/>
          <w:szCs w:val="16"/>
        </w:rPr>
        <w:t>mIAB</w:t>
      </w:r>
      <w:proofErr w:type="spellEnd"/>
      <w:r w:rsidR="00997D5B" w:rsidRPr="00997D5B">
        <w:rPr>
          <w:rFonts w:ascii="Calibri" w:hAnsi="Calibri" w:cs="Calibri"/>
          <w:b/>
          <w:i/>
          <w:iCs/>
          <w:color w:val="00B050"/>
          <w:kern w:val="2"/>
          <w:sz w:val="18"/>
          <w:szCs w:val="16"/>
        </w:rPr>
        <w:t>-DU</w:t>
      </w:r>
      <w:r w:rsidR="00997D5B">
        <w:rPr>
          <w:rFonts w:ascii="Calibri" w:hAnsi="Calibri" w:cs="Calibri"/>
          <w:b/>
          <w:i/>
          <w:iCs/>
          <w:color w:val="00B050"/>
          <w:kern w:val="2"/>
          <w:sz w:val="18"/>
          <w:szCs w:val="16"/>
        </w:rPr>
        <w:t>,</w:t>
      </w:r>
      <w:r w:rsidR="00997D5B">
        <w:rPr>
          <w:szCs w:val="21"/>
        </w:rPr>
        <w:t xml:space="preserve"> it indicates that the donor CU serving the </w:t>
      </w:r>
      <w:proofErr w:type="spellStart"/>
      <w:r w:rsidR="00997D5B">
        <w:rPr>
          <w:szCs w:val="21"/>
        </w:rPr>
        <w:t>mIAB</w:t>
      </w:r>
      <w:proofErr w:type="spellEnd"/>
      <w:r w:rsidR="00997D5B">
        <w:rPr>
          <w:szCs w:val="21"/>
        </w:rPr>
        <w:t xml:space="preserve">-DU is responsible to decide whether to execute DU migration or not. In our view, we should discuss how the donor CU serving the </w:t>
      </w:r>
      <w:proofErr w:type="spellStart"/>
      <w:r w:rsidR="00997D5B">
        <w:rPr>
          <w:szCs w:val="21"/>
        </w:rPr>
        <w:t>mIAB</w:t>
      </w:r>
      <w:proofErr w:type="spellEnd"/>
      <w:r w:rsidR="00997D5B">
        <w:rPr>
          <w:szCs w:val="21"/>
        </w:rPr>
        <w:t xml:space="preserve">-DU decide to execute DU migration or </w:t>
      </w:r>
      <w:r w:rsidR="009149D8" w:rsidRPr="009149D8">
        <w:rPr>
          <w:szCs w:val="21"/>
        </w:rPr>
        <w:t>inter-donor F1 transport migration</w:t>
      </w:r>
      <w:r w:rsidR="009149D8">
        <w:rPr>
          <w:szCs w:val="21"/>
        </w:rPr>
        <w:t>, at least, we think the following information should be considered:</w:t>
      </w:r>
    </w:p>
    <w:p w14:paraId="73DF56FB" w14:textId="4FAA160E" w:rsidR="009149D8" w:rsidRDefault="009149D8" w:rsidP="009149D8">
      <w:pPr>
        <w:pStyle w:val="a9"/>
        <w:numPr>
          <w:ilvl w:val="0"/>
          <w:numId w:val="15"/>
        </w:numPr>
        <w:spacing w:line="360" w:lineRule="auto"/>
        <w:ind w:leftChars="0" w:left="714" w:hanging="357"/>
        <w:rPr>
          <w:rFonts w:ascii="Times New Roman" w:hAnsi="Times New Roman"/>
          <w:sz w:val="20"/>
          <w:szCs w:val="21"/>
        </w:rPr>
      </w:pPr>
      <w:r w:rsidRPr="009149D8">
        <w:rPr>
          <w:rFonts w:ascii="Times New Roman" w:hAnsi="Times New Roman"/>
          <w:sz w:val="20"/>
          <w:szCs w:val="21"/>
        </w:rPr>
        <w:t xml:space="preserve">Whether the target </w:t>
      </w:r>
      <w:r>
        <w:rPr>
          <w:rFonts w:ascii="Times New Roman" w:hAnsi="Times New Roman"/>
          <w:sz w:val="20"/>
          <w:szCs w:val="21"/>
        </w:rPr>
        <w:t xml:space="preserve">donor can support all the UEs served by the </w:t>
      </w:r>
      <w:proofErr w:type="spellStart"/>
      <w:r>
        <w:rPr>
          <w:rFonts w:ascii="Times New Roman" w:hAnsi="Times New Roman"/>
          <w:sz w:val="20"/>
          <w:szCs w:val="21"/>
        </w:rPr>
        <w:t>mIAB</w:t>
      </w:r>
      <w:proofErr w:type="spellEnd"/>
      <w:r>
        <w:rPr>
          <w:rFonts w:ascii="Times New Roman" w:hAnsi="Times New Roman"/>
          <w:sz w:val="20"/>
          <w:szCs w:val="21"/>
        </w:rPr>
        <w:t xml:space="preserve"> node</w:t>
      </w:r>
    </w:p>
    <w:p w14:paraId="1FF1BF84" w14:textId="1AEAC0F1" w:rsidR="004F493F" w:rsidRPr="007528F5" w:rsidRDefault="009149D8" w:rsidP="004E6C01">
      <w:pPr>
        <w:pStyle w:val="a9"/>
        <w:numPr>
          <w:ilvl w:val="0"/>
          <w:numId w:val="15"/>
        </w:numPr>
        <w:spacing w:line="360" w:lineRule="auto"/>
        <w:ind w:leftChars="0" w:left="714" w:hanging="357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Whether the target donor can support all the traffics served by the </w:t>
      </w:r>
      <w:proofErr w:type="spellStart"/>
      <w:r>
        <w:rPr>
          <w:rFonts w:ascii="Times New Roman" w:hAnsi="Times New Roman"/>
          <w:sz w:val="20"/>
          <w:szCs w:val="21"/>
        </w:rPr>
        <w:t>mIAB</w:t>
      </w:r>
      <w:proofErr w:type="spellEnd"/>
      <w:r>
        <w:rPr>
          <w:rFonts w:ascii="Times New Roman" w:hAnsi="Times New Roman"/>
          <w:sz w:val="20"/>
          <w:szCs w:val="21"/>
        </w:rPr>
        <w:t xml:space="preserve"> node</w:t>
      </w:r>
    </w:p>
    <w:p w14:paraId="0446C993" w14:textId="51ED7173" w:rsidR="003532DA" w:rsidRDefault="004F493F" w:rsidP="004E6C01">
      <w:pPr>
        <w:rPr>
          <w:szCs w:val="21"/>
        </w:rPr>
      </w:pPr>
      <w:r>
        <w:rPr>
          <w:szCs w:val="21"/>
        </w:rPr>
        <w:t xml:space="preserve">If </w:t>
      </w:r>
      <w:r w:rsidRPr="004F493F">
        <w:rPr>
          <w:szCs w:val="21"/>
        </w:rPr>
        <w:t xml:space="preserve">IP connectivity between </w:t>
      </w:r>
      <w:r>
        <w:rPr>
          <w:szCs w:val="21"/>
        </w:rPr>
        <w:t>the donor</w:t>
      </w:r>
      <w:r w:rsidR="009D20A0">
        <w:rPr>
          <w:szCs w:val="21"/>
        </w:rPr>
        <w:t xml:space="preserve"> CUs</w:t>
      </w:r>
      <w:r w:rsidRPr="004F493F">
        <w:rPr>
          <w:szCs w:val="21"/>
        </w:rPr>
        <w:t xml:space="preserve"> is available</w:t>
      </w:r>
      <w:r>
        <w:rPr>
          <w:szCs w:val="21"/>
        </w:rPr>
        <w:t>, a</w:t>
      </w:r>
      <w:r w:rsidR="00B936A4">
        <w:rPr>
          <w:szCs w:val="21"/>
        </w:rPr>
        <w:t>fter</w:t>
      </w:r>
      <w:r w:rsidR="00AE7FEC">
        <w:rPr>
          <w:szCs w:val="21"/>
        </w:rPr>
        <w:t xml:space="preserve"> IAB-MT completes the handover procedure</w:t>
      </w:r>
      <w:r w:rsidR="0047092A">
        <w:rPr>
          <w:szCs w:val="21"/>
        </w:rPr>
        <w:t>, we think both target donor CU and source donor CU of the IAB-MT can provide the notification to the donor CU of IAB-DU. As shown below:</w:t>
      </w:r>
    </w:p>
    <w:p w14:paraId="3D98F0CD" w14:textId="68B4D0C5" w:rsidR="0047092A" w:rsidRDefault="004F493F" w:rsidP="0047092A">
      <w:pPr>
        <w:jc w:val="center"/>
        <w:rPr>
          <w:szCs w:val="21"/>
        </w:rPr>
      </w:pPr>
      <w:r>
        <w:object w:dxaOrig="10240" w:dyaOrig="5301" w14:anchorId="66BD3E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45pt;height:213.3pt" o:ole="">
            <v:imagedata r:id="rId8" o:title=""/>
          </v:shape>
          <o:OLEObject Type="Embed" ProgID="Visio.Drawing.15" ShapeID="_x0000_i1025" DrawAspect="Content" ObjectID="_1729078409" r:id="rId9"/>
        </w:object>
      </w:r>
    </w:p>
    <w:p w14:paraId="2F93CED8" w14:textId="6005E42B" w:rsidR="0047092A" w:rsidRPr="0047092A" w:rsidRDefault="0047092A" w:rsidP="0047092A">
      <w:pPr>
        <w:pStyle w:val="a9"/>
        <w:numPr>
          <w:ilvl w:val="0"/>
          <w:numId w:val="15"/>
        </w:numPr>
        <w:spacing w:line="360" w:lineRule="auto"/>
        <w:ind w:leftChars="0" w:left="714" w:hanging="357"/>
        <w:rPr>
          <w:rFonts w:ascii="Times New Roman" w:hAnsi="Times New Roman"/>
          <w:sz w:val="20"/>
          <w:szCs w:val="21"/>
        </w:rPr>
      </w:pPr>
      <w:r w:rsidRPr="0047092A">
        <w:rPr>
          <w:rFonts w:ascii="Times New Roman" w:hAnsi="Times New Roman"/>
          <w:sz w:val="20"/>
          <w:szCs w:val="21"/>
        </w:rPr>
        <w:t>Option A, target donor CU of the IAB-MT provide the notification to serving donor CU of the IAB-DU</w:t>
      </w:r>
    </w:p>
    <w:p w14:paraId="18659A70" w14:textId="5D0F3364" w:rsidR="0047092A" w:rsidRPr="0047092A" w:rsidRDefault="0047092A" w:rsidP="0047092A">
      <w:pPr>
        <w:pStyle w:val="a9"/>
        <w:numPr>
          <w:ilvl w:val="0"/>
          <w:numId w:val="15"/>
        </w:numPr>
        <w:spacing w:line="360" w:lineRule="auto"/>
        <w:ind w:leftChars="0" w:left="714" w:hanging="357"/>
        <w:rPr>
          <w:rFonts w:ascii="Times New Roman" w:hAnsi="Times New Roman"/>
          <w:sz w:val="20"/>
          <w:szCs w:val="21"/>
        </w:rPr>
      </w:pPr>
      <w:r w:rsidRPr="0047092A">
        <w:rPr>
          <w:rFonts w:ascii="Times New Roman" w:hAnsi="Times New Roman"/>
          <w:sz w:val="20"/>
          <w:szCs w:val="21"/>
        </w:rPr>
        <w:t>Option B, source donor CU of the IAB-MT provide the notification to serving donor CU of the IAB-DU</w:t>
      </w:r>
    </w:p>
    <w:p w14:paraId="52BDF070" w14:textId="03C54179" w:rsidR="004F493F" w:rsidRDefault="004F493F" w:rsidP="0047092A">
      <w:pPr>
        <w:rPr>
          <w:szCs w:val="21"/>
        </w:rPr>
      </w:pPr>
      <w:r>
        <w:rPr>
          <w:szCs w:val="21"/>
        </w:rPr>
        <w:t xml:space="preserve">Considering the timing for DU-migration decision, we think option A may be better, which can make the serving donor CU of the </w:t>
      </w:r>
      <w:proofErr w:type="spellStart"/>
      <w:r>
        <w:rPr>
          <w:szCs w:val="21"/>
        </w:rPr>
        <w:t>mIAB</w:t>
      </w:r>
      <w:proofErr w:type="spellEnd"/>
      <w:r>
        <w:rPr>
          <w:szCs w:val="21"/>
        </w:rPr>
        <w:t xml:space="preserve">-DU decide the migration type as early as possible, so that the corresponding nodes can prepare the resources. Besides, we think the </w:t>
      </w:r>
      <w:r w:rsidRPr="0047092A">
        <w:rPr>
          <w:szCs w:val="21"/>
        </w:rPr>
        <w:t>target donor CU of the IAB-MT</w:t>
      </w:r>
      <w:r>
        <w:rPr>
          <w:szCs w:val="21"/>
        </w:rPr>
        <w:t xml:space="preserve"> can also provide some assistance information for making decision.</w:t>
      </w:r>
    </w:p>
    <w:p w14:paraId="416D707C" w14:textId="1A83342D" w:rsidR="004F493F" w:rsidRDefault="004F493F" w:rsidP="0047092A">
      <w:pPr>
        <w:rPr>
          <w:szCs w:val="21"/>
        </w:rPr>
      </w:pPr>
      <w:r>
        <w:rPr>
          <w:szCs w:val="21"/>
        </w:rPr>
        <w:t xml:space="preserve">Regarding the information </w:t>
      </w:r>
      <w:r w:rsidR="009D20A0">
        <w:rPr>
          <w:szCs w:val="21"/>
        </w:rPr>
        <w:t xml:space="preserve">needs to be notified, it depends on which node provide the notification. </w:t>
      </w:r>
    </w:p>
    <w:p w14:paraId="36755A52" w14:textId="7B2CCA46" w:rsidR="009D20A0" w:rsidRDefault="009D20A0" w:rsidP="0047092A">
      <w:pPr>
        <w:rPr>
          <w:szCs w:val="21"/>
        </w:rPr>
      </w:pPr>
      <w:r>
        <w:rPr>
          <w:szCs w:val="21"/>
        </w:rPr>
        <w:t xml:space="preserve">If option A is chosen, the </w:t>
      </w:r>
      <w:r w:rsidRPr="0047092A">
        <w:rPr>
          <w:szCs w:val="21"/>
        </w:rPr>
        <w:t>target donor CU of the IAB-MT</w:t>
      </w:r>
      <w:r>
        <w:rPr>
          <w:szCs w:val="21"/>
        </w:rPr>
        <w:t xml:space="preserve"> should be notified the </w:t>
      </w:r>
      <w:proofErr w:type="spellStart"/>
      <w:r w:rsidRPr="009D20A0">
        <w:rPr>
          <w:szCs w:val="21"/>
        </w:rPr>
        <w:t>gNB</w:t>
      </w:r>
      <w:proofErr w:type="spellEnd"/>
      <w:r w:rsidRPr="009D20A0">
        <w:rPr>
          <w:szCs w:val="21"/>
        </w:rPr>
        <w:t xml:space="preserve"> ID of </w:t>
      </w:r>
      <w:r>
        <w:rPr>
          <w:szCs w:val="21"/>
        </w:rPr>
        <w:t xml:space="preserve">serving donor CU of the IAB-DU and </w:t>
      </w:r>
      <w:proofErr w:type="spellStart"/>
      <w:r>
        <w:rPr>
          <w:szCs w:val="21"/>
        </w:rPr>
        <w:t>XnAP</w:t>
      </w:r>
      <w:proofErr w:type="spellEnd"/>
      <w:r>
        <w:rPr>
          <w:szCs w:val="21"/>
        </w:rPr>
        <w:t xml:space="preserve"> UE ID in the serving donor CU of the IAB-DU by IAB node or </w:t>
      </w:r>
      <w:r w:rsidRPr="0047092A">
        <w:rPr>
          <w:szCs w:val="21"/>
        </w:rPr>
        <w:t>source donor CU of the IAB-MT</w:t>
      </w:r>
      <w:r>
        <w:rPr>
          <w:szCs w:val="21"/>
        </w:rPr>
        <w:t xml:space="preserve">, and the </w:t>
      </w:r>
      <w:r w:rsidRPr="0047092A">
        <w:rPr>
          <w:szCs w:val="21"/>
        </w:rPr>
        <w:t>target donor CU of the IAB-MT</w:t>
      </w:r>
      <w:r>
        <w:rPr>
          <w:szCs w:val="21"/>
        </w:rPr>
        <w:t xml:space="preserve"> can include the </w:t>
      </w:r>
      <w:proofErr w:type="spellStart"/>
      <w:proofErr w:type="gramStart"/>
      <w:r>
        <w:rPr>
          <w:szCs w:val="21"/>
        </w:rPr>
        <w:t>XnAP</w:t>
      </w:r>
      <w:proofErr w:type="spellEnd"/>
      <w:r>
        <w:rPr>
          <w:szCs w:val="21"/>
        </w:rPr>
        <w:t xml:space="preserve">  UE</w:t>
      </w:r>
      <w:proofErr w:type="gramEnd"/>
      <w:r>
        <w:rPr>
          <w:szCs w:val="21"/>
        </w:rPr>
        <w:t xml:space="preserve"> ID in the notification message. </w:t>
      </w:r>
    </w:p>
    <w:p w14:paraId="2270963A" w14:textId="11D323AB" w:rsidR="009D20A0" w:rsidRDefault="009D20A0" w:rsidP="0047092A">
      <w:pPr>
        <w:rPr>
          <w:szCs w:val="21"/>
        </w:rPr>
      </w:pPr>
      <w:r>
        <w:rPr>
          <w:szCs w:val="21"/>
        </w:rPr>
        <w:t xml:space="preserve">If option B is chosen, serving donor CU of the IAB-DU can include the </w:t>
      </w:r>
      <w:proofErr w:type="spellStart"/>
      <w:r>
        <w:rPr>
          <w:szCs w:val="21"/>
        </w:rPr>
        <w:t>XnAP</w:t>
      </w:r>
      <w:proofErr w:type="spellEnd"/>
      <w:r>
        <w:rPr>
          <w:szCs w:val="21"/>
        </w:rPr>
        <w:t xml:space="preserve"> UE ID in the target </w:t>
      </w:r>
      <w:r w:rsidRPr="0047092A">
        <w:rPr>
          <w:szCs w:val="21"/>
        </w:rPr>
        <w:t>donor CU of the IAB-MT</w:t>
      </w:r>
      <w:r>
        <w:rPr>
          <w:szCs w:val="21"/>
        </w:rPr>
        <w:t xml:space="preserve"> in the notification message. </w:t>
      </w:r>
    </w:p>
    <w:p w14:paraId="746ADE5C" w14:textId="3528B0EA" w:rsidR="00B4119B" w:rsidRPr="00F71331" w:rsidRDefault="009D20A0" w:rsidP="0019788D">
      <w:pPr>
        <w:rPr>
          <w:szCs w:val="21"/>
        </w:rPr>
      </w:pPr>
      <w:r>
        <w:rPr>
          <w:szCs w:val="21"/>
        </w:rPr>
        <w:t xml:space="preserve">In both options, IP address of the donor CU can also be considered, in case there’s no </w:t>
      </w:r>
      <w:proofErr w:type="spellStart"/>
      <w:r>
        <w:rPr>
          <w:szCs w:val="21"/>
        </w:rPr>
        <w:t>Xn</w:t>
      </w:r>
      <w:proofErr w:type="spellEnd"/>
      <w:r>
        <w:rPr>
          <w:szCs w:val="21"/>
        </w:rPr>
        <w:t xml:space="preserve"> connection between the donor CUs.</w:t>
      </w:r>
    </w:p>
    <w:p w14:paraId="688DEE14" w14:textId="6E3F3B6F" w:rsidR="00045D5B" w:rsidRPr="00045D5B" w:rsidRDefault="00045D5B" w:rsidP="0019788D">
      <w:pPr>
        <w:rPr>
          <w:b/>
          <w:szCs w:val="21"/>
          <w:lang w:val="en-US"/>
        </w:rPr>
      </w:pPr>
      <w:r w:rsidRPr="00045D5B">
        <w:rPr>
          <w:b/>
          <w:szCs w:val="21"/>
          <w:lang w:val="en-US"/>
        </w:rPr>
        <w:t>Proposal</w:t>
      </w:r>
      <w:r w:rsidR="006F70C2">
        <w:rPr>
          <w:b/>
          <w:szCs w:val="21"/>
          <w:lang w:val="en-US"/>
        </w:rPr>
        <w:t xml:space="preserve"> </w:t>
      </w:r>
      <w:r w:rsidR="007528F5">
        <w:rPr>
          <w:b/>
          <w:szCs w:val="21"/>
          <w:lang w:val="en-US"/>
        </w:rPr>
        <w:t>3</w:t>
      </w:r>
      <w:r w:rsidRPr="00045D5B">
        <w:rPr>
          <w:b/>
          <w:szCs w:val="21"/>
          <w:lang w:val="en-US"/>
        </w:rPr>
        <w:t>, RAN3 to discuss</w:t>
      </w:r>
      <w:r w:rsidRPr="00045D5B">
        <w:rPr>
          <w:b/>
        </w:rPr>
        <w:t xml:space="preserve"> </w:t>
      </w:r>
      <w:r w:rsidR="009D20A0">
        <w:rPr>
          <w:b/>
          <w:szCs w:val="21"/>
          <w:lang w:val="en-US"/>
        </w:rPr>
        <w:t xml:space="preserve">what information should be considered for </w:t>
      </w:r>
      <w:r w:rsidR="009D20A0" w:rsidRPr="009D20A0">
        <w:rPr>
          <w:b/>
          <w:szCs w:val="21"/>
          <w:lang w:val="en-US"/>
        </w:rPr>
        <w:t xml:space="preserve">the donor CU serving the </w:t>
      </w:r>
      <w:proofErr w:type="spellStart"/>
      <w:r w:rsidR="009D20A0" w:rsidRPr="009D20A0">
        <w:rPr>
          <w:b/>
          <w:szCs w:val="21"/>
          <w:lang w:val="en-US"/>
        </w:rPr>
        <w:t>mIAB</w:t>
      </w:r>
      <w:proofErr w:type="spellEnd"/>
      <w:r w:rsidR="009D20A0" w:rsidRPr="009D20A0">
        <w:rPr>
          <w:b/>
          <w:szCs w:val="21"/>
          <w:lang w:val="en-US"/>
        </w:rPr>
        <w:t>-DU</w:t>
      </w:r>
      <w:r w:rsidR="009D20A0">
        <w:rPr>
          <w:b/>
          <w:szCs w:val="21"/>
          <w:lang w:val="en-US"/>
        </w:rPr>
        <w:t xml:space="preserve"> to decide whether to perform DU migration or not. </w:t>
      </w:r>
    </w:p>
    <w:p w14:paraId="5F3EDDEB" w14:textId="1D78C18D" w:rsidR="00045D5B" w:rsidRDefault="00045D5B" w:rsidP="0019788D">
      <w:pPr>
        <w:rPr>
          <w:b/>
          <w:szCs w:val="21"/>
          <w:lang w:val="en-US"/>
        </w:rPr>
      </w:pPr>
      <w:r w:rsidRPr="00045D5B">
        <w:rPr>
          <w:b/>
          <w:szCs w:val="21"/>
          <w:lang w:val="en-US"/>
        </w:rPr>
        <w:t>Proposal</w:t>
      </w:r>
      <w:r w:rsidR="006F70C2">
        <w:rPr>
          <w:b/>
          <w:szCs w:val="21"/>
          <w:lang w:val="en-US"/>
        </w:rPr>
        <w:t xml:space="preserve"> </w:t>
      </w:r>
      <w:r w:rsidR="007528F5">
        <w:rPr>
          <w:b/>
          <w:szCs w:val="21"/>
          <w:lang w:val="en-US"/>
        </w:rPr>
        <w:t>4</w:t>
      </w:r>
      <w:r w:rsidRPr="00045D5B">
        <w:rPr>
          <w:b/>
          <w:szCs w:val="21"/>
          <w:lang w:val="en-US"/>
        </w:rPr>
        <w:t xml:space="preserve">, </w:t>
      </w:r>
      <w:r w:rsidR="009D20A0" w:rsidRPr="009D20A0">
        <w:rPr>
          <w:b/>
          <w:szCs w:val="21"/>
          <w:lang w:val="en-US"/>
        </w:rPr>
        <w:t>If IP connectivity between the donor CUs is available,</w:t>
      </w:r>
      <w:r w:rsidR="009D20A0">
        <w:rPr>
          <w:b/>
          <w:szCs w:val="21"/>
          <w:lang w:val="en-US"/>
        </w:rPr>
        <w:t xml:space="preserve"> RAN3 down-select the following options to notify the </w:t>
      </w:r>
      <w:r w:rsidR="009D20A0" w:rsidRPr="009D20A0">
        <w:rPr>
          <w:b/>
          <w:szCs w:val="21"/>
          <w:lang w:val="en-US"/>
        </w:rPr>
        <w:t xml:space="preserve">donor CU serving the </w:t>
      </w:r>
      <w:proofErr w:type="spellStart"/>
      <w:r w:rsidR="009D20A0" w:rsidRPr="009D20A0">
        <w:rPr>
          <w:b/>
          <w:szCs w:val="21"/>
          <w:lang w:val="en-US"/>
        </w:rPr>
        <w:t>mIAB</w:t>
      </w:r>
      <w:proofErr w:type="spellEnd"/>
      <w:r w:rsidR="009D20A0" w:rsidRPr="009D20A0">
        <w:rPr>
          <w:b/>
          <w:szCs w:val="21"/>
          <w:lang w:val="en-US"/>
        </w:rPr>
        <w:t>-DU</w:t>
      </w:r>
      <w:r w:rsidR="009D20A0">
        <w:rPr>
          <w:b/>
          <w:szCs w:val="21"/>
          <w:lang w:val="en-US"/>
        </w:rPr>
        <w:t xml:space="preserve"> the co-located IAB-MT handover to a new donor CU.</w:t>
      </w:r>
    </w:p>
    <w:p w14:paraId="68EC9978" w14:textId="77777777" w:rsidR="009D20A0" w:rsidRPr="009D20A0" w:rsidRDefault="009D20A0" w:rsidP="009D20A0">
      <w:pPr>
        <w:rPr>
          <w:b/>
          <w:szCs w:val="21"/>
          <w:lang w:val="en-US"/>
        </w:rPr>
      </w:pPr>
      <w:r w:rsidRPr="009D20A0">
        <w:rPr>
          <w:b/>
          <w:szCs w:val="21"/>
          <w:lang w:val="en-US"/>
        </w:rPr>
        <w:t>-</w:t>
      </w:r>
      <w:r w:rsidRPr="009D20A0">
        <w:rPr>
          <w:b/>
          <w:szCs w:val="21"/>
          <w:lang w:val="en-US"/>
        </w:rPr>
        <w:tab/>
        <w:t>Option A, target donor CU of the IAB-MT provide the notification to serving donor CU of the IAB-DU</w:t>
      </w:r>
    </w:p>
    <w:p w14:paraId="7AADF19B" w14:textId="57C88B66" w:rsidR="009D20A0" w:rsidRDefault="009D20A0" w:rsidP="009D20A0">
      <w:pPr>
        <w:rPr>
          <w:b/>
          <w:szCs w:val="21"/>
          <w:lang w:val="en-US"/>
        </w:rPr>
      </w:pPr>
      <w:r w:rsidRPr="009D20A0">
        <w:rPr>
          <w:b/>
          <w:szCs w:val="21"/>
          <w:lang w:val="en-US"/>
        </w:rPr>
        <w:t>-</w:t>
      </w:r>
      <w:r w:rsidRPr="009D20A0">
        <w:rPr>
          <w:b/>
          <w:szCs w:val="21"/>
          <w:lang w:val="en-US"/>
        </w:rPr>
        <w:tab/>
        <w:t>Option B, source donor CU of the IAB-MT provide the notification to serving donor CU of the IAB-DU</w:t>
      </w:r>
    </w:p>
    <w:p w14:paraId="4779855A" w14:textId="53AE7BF7" w:rsidR="00D470EA" w:rsidRDefault="009D20A0" w:rsidP="0019788D">
      <w:pPr>
        <w:rPr>
          <w:b/>
          <w:szCs w:val="21"/>
          <w:lang w:val="en-US"/>
        </w:rPr>
      </w:pPr>
      <w:r>
        <w:rPr>
          <w:b/>
          <w:szCs w:val="21"/>
          <w:lang w:val="en-US"/>
        </w:rPr>
        <w:t xml:space="preserve">Proposal </w:t>
      </w:r>
      <w:r w:rsidR="007528F5">
        <w:rPr>
          <w:b/>
          <w:szCs w:val="21"/>
          <w:lang w:val="en-US"/>
        </w:rPr>
        <w:t>5</w:t>
      </w:r>
      <w:r>
        <w:rPr>
          <w:b/>
          <w:szCs w:val="21"/>
          <w:lang w:val="en-US"/>
        </w:rPr>
        <w:t xml:space="preserve">, IP address should be considered </w:t>
      </w:r>
      <w:r w:rsidR="00027D1F">
        <w:rPr>
          <w:b/>
          <w:szCs w:val="21"/>
          <w:lang w:val="en-US"/>
        </w:rPr>
        <w:t xml:space="preserve">in the notification in case there’s no </w:t>
      </w:r>
      <w:proofErr w:type="spellStart"/>
      <w:r w:rsidR="00027D1F">
        <w:rPr>
          <w:b/>
          <w:szCs w:val="21"/>
          <w:lang w:val="en-US"/>
        </w:rPr>
        <w:t>Xn</w:t>
      </w:r>
      <w:proofErr w:type="spellEnd"/>
      <w:r w:rsidR="00027D1F">
        <w:rPr>
          <w:b/>
          <w:szCs w:val="21"/>
          <w:lang w:val="en-US"/>
        </w:rPr>
        <w:t xml:space="preserve"> connection. </w:t>
      </w:r>
    </w:p>
    <w:p w14:paraId="240A1EE2" w14:textId="44FF57E1" w:rsidR="007528F5" w:rsidRDefault="007528F5" w:rsidP="00D470EA">
      <w:pPr>
        <w:pStyle w:val="Agreement"/>
        <w:numPr>
          <w:ilvl w:val="0"/>
          <w:numId w:val="0"/>
        </w:numPr>
        <w:tabs>
          <w:tab w:val="left" w:pos="720"/>
        </w:tabs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u w:val="single"/>
        </w:rPr>
        <w:t xml:space="preserve">Open issues on </w:t>
      </w:r>
      <w:r w:rsidR="00D470EA">
        <w:rPr>
          <w:rFonts w:ascii="Times New Roman" w:hAnsi="Times New Roman"/>
          <w:b w:val="0"/>
          <w:u w:val="single"/>
        </w:rPr>
        <w:t>IAB-DU migration</w:t>
      </w:r>
      <w:r w:rsidR="00D470EA">
        <w:rPr>
          <w:rFonts w:ascii="Times New Roman" w:hAnsi="Times New Roman"/>
          <w:b w:val="0"/>
        </w:rPr>
        <w:t xml:space="preserve">: </w:t>
      </w:r>
    </w:p>
    <w:p w14:paraId="2FD45084" w14:textId="7B230AAE" w:rsidR="007528F5" w:rsidRPr="007528F5" w:rsidRDefault="007528F5" w:rsidP="007528F5">
      <w:pPr>
        <w:pStyle w:val="Agreement"/>
        <w:numPr>
          <w:ilvl w:val="0"/>
          <w:numId w:val="19"/>
        </w:numPr>
        <w:tabs>
          <w:tab w:val="left" w:pos="720"/>
        </w:tabs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Issue 1, </w:t>
      </w:r>
      <w:r w:rsidR="00D470EA">
        <w:rPr>
          <w:rFonts w:ascii="Times New Roman" w:hAnsi="Times New Roman"/>
          <w:b w:val="0"/>
        </w:rPr>
        <w:t>How does it trigger/initiate the F1AP establishment between target IAB-DU and target IAB-DU’s donor (CU2)?</w:t>
      </w:r>
    </w:p>
    <w:p w14:paraId="09EE13C3" w14:textId="6F0220FF" w:rsidR="007528F5" w:rsidRPr="007528F5" w:rsidRDefault="007528F5" w:rsidP="007528F5">
      <w:pPr>
        <w:pStyle w:val="Agreement"/>
        <w:numPr>
          <w:ilvl w:val="0"/>
          <w:numId w:val="19"/>
        </w:numPr>
        <w:tabs>
          <w:tab w:val="left" w:pos="720"/>
        </w:tabs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Issue 2, </w:t>
      </w:r>
      <w:r w:rsidR="00D470EA">
        <w:rPr>
          <w:rFonts w:ascii="Times New Roman" w:hAnsi="Times New Roman"/>
          <w:b w:val="0"/>
        </w:rPr>
        <w:t>How does the CU1 know that F1AP to CU2 has been established so that it can start UE handover?</w:t>
      </w:r>
    </w:p>
    <w:p w14:paraId="6F64D28B" w14:textId="361AC0CE" w:rsidR="007528F5" w:rsidRPr="007528F5" w:rsidRDefault="007528F5" w:rsidP="007528F5">
      <w:pPr>
        <w:pStyle w:val="Agreement"/>
        <w:numPr>
          <w:ilvl w:val="0"/>
          <w:numId w:val="19"/>
        </w:numPr>
        <w:tabs>
          <w:tab w:val="left" w:pos="720"/>
        </w:tabs>
        <w:rPr>
          <w:rFonts w:ascii="Times New Roman" w:hAnsi="Times New Roman"/>
          <w:b w:val="0"/>
          <w:szCs w:val="20"/>
        </w:rPr>
      </w:pPr>
      <w:r>
        <w:rPr>
          <w:rFonts w:ascii="Times New Roman" w:hAnsi="Times New Roman"/>
          <w:b w:val="0"/>
        </w:rPr>
        <w:t>Issue 3, How is the CU1 notified about the cell IDs that are served by the logical target IAB-DU?</w:t>
      </w:r>
    </w:p>
    <w:p w14:paraId="7D7B2CD4" w14:textId="5BCE36FC" w:rsidR="007528F5" w:rsidRDefault="007528F5" w:rsidP="007528F5">
      <w:pPr>
        <w:pStyle w:val="Doc-text2"/>
        <w:ind w:left="0" w:firstLine="0"/>
      </w:pPr>
    </w:p>
    <w:p w14:paraId="31CDD39A" w14:textId="7650FD95" w:rsidR="007528F5" w:rsidRPr="007528F5" w:rsidRDefault="008E0F31" w:rsidP="007528F5">
      <w:pPr>
        <w:rPr>
          <w:szCs w:val="21"/>
        </w:rPr>
      </w:pPr>
      <w:r>
        <w:rPr>
          <w:szCs w:val="21"/>
        </w:rPr>
        <w:t>For issue 1, we think a</w:t>
      </w:r>
      <w:r w:rsidR="007528F5" w:rsidRPr="007528F5">
        <w:rPr>
          <w:szCs w:val="21"/>
        </w:rPr>
        <w:t>fter Serving donor CU of IAB-DU decide to perform</w:t>
      </w:r>
      <w:r w:rsidR="007528F5">
        <w:rPr>
          <w:szCs w:val="21"/>
        </w:rPr>
        <w:t xml:space="preserve"> full migration, </w:t>
      </w:r>
      <w:r w:rsidR="005D5A45">
        <w:rPr>
          <w:szCs w:val="21"/>
        </w:rPr>
        <w:t>the serving donor CU of the IAB-DU</w:t>
      </w:r>
      <w:r w:rsidR="007528F5">
        <w:rPr>
          <w:szCs w:val="21"/>
        </w:rPr>
        <w:t xml:space="preserve"> should notify the IAB node to start the setup of the 2</w:t>
      </w:r>
      <w:r w:rsidR="007528F5" w:rsidRPr="007528F5">
        <w:rPr>
          <w:szCs w:val="21"/>
          <w:vertAlign w:val="superscript"/>
        </w:rPr>
        <w:t>nd</w:t>
      </w:r>
      <w:r w:rsidR="007528F5">
        <w:rPr>
          <w:szCs w:val="21"/>
        </w:rPr>
        <w:t xml:space="preserve"> logical DU. </w:t>
      </w:r>
    </w:p>
    <w:p w14:paraId="4B8D9CD1" w14:textId="6BDC7C14" w:rsidR="00D470EA" w:rsidRDefault="008E0F31" w:rsidP="0019788D">
      <w:r>
        <w:rPr>
          <w:szCs w:val="21"/>
        </w:rPr>
        <w:lastRenderedPageBreak/>
        <w:t>For issue 2 and issue 3, we think a</w:t>
      </w:r>
      <w:r w:rsidR="007528F5" w:rsidRPr="007528F5">
        <w:rPr>
          <w:szCs w:val="21"/>
        </w:rPr>
        <w:t xml:space="preserve">fter </w:t>
      </w:r>
      <w:r w:rsidR="007528F5">
        <w:rPr>
          <w:szCs w:val="21"/>
        </w:rPr>
        <w:t xml:space="preserve">the second logical DU is setup, </w:t>
      </w:r>
      <w:r>
        <w:rPr>
          <w:szCs w:val="21"/>
        </w:rPr>
        <w:t>the mobile IAB node</w:t>
      </w:r>
      <w:r w:rsidR="007528F5">
        <w:rPr>
          <w:szCs w:val="21"/>
        </w:rPr>
        <w:t xml:space="preserve"> can start to establish the F1 connection between the logical DU 2 and CU2. After </w:t>
      </w:r>
      <w:r w:rsidR="005D5A45">
        <w:rPr>
          <w:szCs w:val="21"/>
        </w:rPr>
        <w:t>that</w:t>
      </w:r>
      <w:r w:rsidR="007528F5">
        <w:rPr>
          <w:szCs w:val="21"/>
        </w:rPr>
        <w:t xml:space="preserve">, the mobile IAB node should notify the CU1 (i.e. </w:t>
      </w:r>
      <w:r w:rsidR="007528F5">
        <w:t>IAB-DU’s donor CU</w:t>
      </w:r>
      <w:r w:rsidR="007528F5">
        <w:rPr>
          <w:szCs w:val="21"/>
        </w:rPr>
        <w:t xml:space="preserve">) the setup of </w:t>
      </w:r>
      <w:r w:rsidR="005D5A45">
        <w:rPr>
          <w:szCs w:val="21"/>
        </w:rPr>
        <w:t xml:space="preserve">F1AP connection and the cell IDs </w:t>
      </w:r>
      <w:r w:rsidR="005D5A45">
        <w:t>that are served by the logical target IAB-DU.</w:t>
      </w:r>
    </w:p>
    <w:p w14:paraId="04910627" w14:textId="0B23616E" w:rsidR="005D5A45" w:rsidRPr="005D5A45" w:rsidRDefault="005D5A45" w:rsidP="0019788D">
      <w:pPr>
        <w:rPr>
          <w:b/>
          <w:szCs w:val="21"/>
        </w:rPr>
      </w:pPr>
      <w:r w:rsidRPr="005D5A45">
        <w:rPr>
          <w:b/>
          <w:szCs w:val="21"/>
        </w:rPr>
        <w:t>Proposal</w:t>
      </w:r>
      <w:r>
        <w:rPr>
          <w:b/>
          <w:szCs w:val="21"/>
        </w:rPr>
        <w:t xml:space="preserve"> 6</w:t>
      </w:r>
      <w:r w:rsidRPr="005D5A45">
        <w:rPr>
          <w:b/>
          <w:szCs w:val="21"/>
        </w:rPr>
        <w:t>, the serving donor CU of the IAB-DU should notify the IAB node to start setup of the 2</w:t>
      </w:r>
      <w:r w:rsidRPr="005D5A45">
        <w:rPr>
          <w:b/>
          <w:szCs w:val="21"/>
          <w:vertAlign w:val="superscript"/>
        </w:rPr>
        <w:t>nd</w:t>
      </w:r>
      <w:r w:rsidRPr="005D5A45">
        <w:rPr>
          <w:b/>
          <w:szCs w:val="21"/>
        </w:rPr>
        <w:t xml:space="preserve"> logical DU.</w:t>
      </w:r>
    </w:p>
    <w:p w14:paraId="4756E78E" w14:textId="24D5948A" w:rsidR="005D5A45" w:rsidRPr="005D5A45" w:rsidRDefault="005D5A45" w:rsidP="0019788D">
      <w:pPr>
        <w:rPr>
          <w:b/>
          <w:szCs w:val="21"/>
        </w:rPr>
      </w:pPr>
      <w:r w:rsidRPr="005D5A45">
        <w:rPr>
          <w:b/>
          <w:szCs w:val="21"/>
        </w:rPr>
        <w:t>Proposal</w:t>
      </w:r>
      <w:r>
        <w:rPr>
          <w:b/>
          <w:szCs w:val="21"/>
        </w:rPr>
        <w:t xml:space="preserve"> 7</w:t>
      </w:r>
      <w:r w:rsidRPr="005D5A45">
        <w:rPr>
          <w:b/>
          <w:szCs w:val="21"/>
        </w:rPr>
        <w:t xml:space="preserve">, the mobile IAB node should notify the CU1 (i.e. </w:t>
      </w:r>
      <w:r w:rsidRPr="005D5A45">
        <w:rPr>
          <w:b/>
        </w:rPr>
        <w:t>IAB-DU’s donor CU</w:t>
      </w:r>
      <w:r w:rsidRPr="005D5A45">
        <w:rPr>
          <w:b/>
          <w:szCs w:val="21"/>
        </w:rPr>
        <w:t xml:space="preserve">) the setup of F1AP connection and the cell IDs </w:t>
      </w:r>
      <w:r w:rsidRPr="005D5A45">
        <w:rPr>
          <w:b/>
        </w:rPr>
        <w:t>that are served by the logical target IAB-DU.</w:t>
      </w:r>
    </w:p>
    <w:p w14:paraId="7E5A00A2" w14:textId="741CD7C6" w:rsidR="00027D1F" w:rsidRPr="00F71331" w:rsidRDefault="00F71331" w:rsidP="00F71331">
      <w:pPr>
        <w:pStyle w:val="2"/>
      </w:pPr>
      <w:r>
        <w:t>2.3</w:t>
      </w:r>
      <w:r>
        <w:tab/>
        <w:t>IAB mobility over NGAP</w:t>
      </w:r>
    </w:p>
    <w:p w14:paraId="54667174" w14:textId="26A71A37" w:rsidR="00027D1F" w:rsidRPr="00027D1F" w:rsidRDefault="00027D1F" w:rsidP="0019788D">
      <w:pPr>
        <w:rPr>
          <w:szCs w:val="21"/>
        </w:rPr>
      </w:pPr>
      <w:r w:rsidRPr="00027D1F">
        <w:rPr>
          <w:szCs w:val="21"/>
        </w:rPr>
        <w:t xml:space="preserve">If </w:t>
      </w:r>
      <w:proofErr w:type="spellStart"/>
      <w:r w:rsidRPr="00027D1F">
        <w:t>Xn</w:t>
      </w:r>
      <w:proofErr w:type="spellEnd"/>
      <w:r w:rsidRPr="00027D1F">
        <w:t xml:space="preserve"> and inter-donor IP connectivity is not available, we have concerns on the traffic latency if the traffic routing across core network. In our understanding if </w:t>
      </w:r>
      <w:proofErr w:type="spellStart"/>
      <w:r w:rsidRPr="00027D1F">
        <w:t>Xn</w:t>
      </w:r>
      <w:proofErr w:type="spellEnd"/>
      <w:r w:rsidRPr="00027D1F">
        <w:t xml:space="preserve"> and inter-donor IP connectivity is not available, partial migration should not be considered</w:t>
      </w:r>
      <w:r>
        <w:t xml:space="preserve">. DU migration and full migration can be further considered when the solutions for the case that </w:t>
      </w:r>
      <w:proofErr w:type="spellStart"/>
      <w:r w:rsidRPr="00027D1F">
        <w:t>Xn</w:t>
      </w:r>
      <w:proofErr w:type="spellEnd"/>
      <w:r w:rsidRPr="00027D1F">
        <w:t xml:space="preserve"> and inter-donor IP connectivity is available</w:t>
      </w:r>
      <w:r>
        <w:t xml:space="preserve"> is specified.</w:t>
      </w:r>
    </w:p>
    <w:p w14:paraId="13959B8D" w14:textId="49AEFC91" w:rsidR="00027D1F" w:rsidRDefault="00027D1F" w:rsidP="0019788D">
      <w:pPr>
        <w:rPr>
          <w:b/>
        </w:rPr>
      </w:pPr>
      <w:r>
        <w:rPr>
          <w:b/>
          <w:szCs w:val="21"/>
        </w:rPr>
        <w:t>Proposal</w:t>
      </w:r>
      <w:r w:rsidR="005D5A45">
        <w:rPr>
          <w:b/>
          <w:szCs w:val="21"/>
        </w:rPr>
        <w:t xml:space="preserve"> 8</w:t>
      </w:r>
      <w:r>
        <w:rPr>
          <w:b/>
          <w:szCs w:val="21"/>
        </w:rPr>
        <w:t xml:space="preserve">, partial migration over NGAP should not be considered if </w:t>
      </w:r>
      <w:proofErr w:type="spellStart"/>
      <w:r>
        <w:rPr>
          <w:b/>
        </w:rPr>
        <w:t>Xn</w:t>
      </w:r>
      <w:proofErr w:type="spellEnd"/>
      <w:r>
        <w:rPr>
          <w:b/>
        </w:rPr>
        <w:t xml:space="preserve"> and inter-donor IP connectivity is not available</w:t>
      </w:r>
      <w:r w:rsidR="006B75FF">
        <w:rPr>
          <w:b/>
        </w:rPr>
        <w:t>, considering long traffic latency introduced.</w:t>
      </w:r>
    </w:p>
    <w:p w14:paraId="25D2511F" w14:textId="16ADECD9" w:rsidR="00027D1F" w:rsidRPr="00027D1F" w:rsidRDefault="00027D1F" w:rsidP="0019788D">
      <w:pPr>
        <w:rPr>
          <w:b/>
          <w:szCs w:val="21"/>
        </w:rPr>
      </w:pPr>
      <w:r>
        <w:rPr>
          <w:b/>
          <w:szCs w:val="21"/>
        </w:rPr>
        <w:t>Proposal</w:t>
      </w:r>
      <w:r w:rsidR="005D5A45">
        <w:rPr>
          <w:b/>
          <w:szCs w:val="21"/>
        </w:rPr>
        <w:t xml:space="preserve"> 9</w:t>
      </w:r>
      <w:r>
        <w:rPr>
          <w:b/>
          <w:szCs w:val="21"/>
        </w:rPr>
        <w:t xml:space="preserve">, DU migration and full migration over NGAP can be discussed when the solutions over </w:t>
      </w:r>
      <w:proofErr w:type="spellStart"/>
      <w:r>
        <w:rPr>
          <w:b/>
          <w:szCs w:val="21"/>
        </w:rPr>
        <w:t>XnAP</w:t>
      </w:r>
      <w:proofErr w:type="spellEnd"/>
      <w:r>
        <w:rPr>
          <w:b/>
          <w:szCs w:val="21"/>
        </w:rPr>
        <w:t xml:space="preserve"> is clear and stable. </w:t>
      </w:r>
    </w:p>
    <w:bookmarkEnd w:id="1"/>
    <w:p w14:paraId="0D110258" w14:textId="77777777" w:rsidR="00CD4C7B" w:rsidRPr="006E13D1" w:rsidRDefault="00972FD7" w:rsidP="00CD4C7B">
      <w:pPr>
        <w:pStyle w:val="1"/>
      </w:pPr>
      <w:r>
        <w:t>3</w:t>
      </w:r>
      <w:r w:rsidR="00CD4C7B" w:rsidRPr="006E13D1">
        <w:tab/>
      </w:r>
      <w:r>
        <w:t>Conclusion</w:t>
      </w:r>
    </w:p>
    <w:p w14:paraId="6093981F" w14:textId="02640D10" w:rsidR="00CD4C7B" w:rsidRDefault="00755770" w:rsidP="00CD4C7B">
      <w:r>
        <w:t>In this contribution, we had the following observations and proposals.</w:t>
      </w:r>
    </w:p>
    <w:p w14:paraId="22D2C6DA" w14:textId="77777777" w:rsidR="006B75FF" w:rsidRPr="00D862C5" w:rsidRDefault="006B75FF" w:rsidP="006B75FF">
      <w:pPr>
        <w:rPr>
          <w:b/>
          <w:szCs w:val="21"/>
        </w:rPr>
      </w:pPr>
      <w:r w:rsidRPr="00D862C5">
        <w:rPr>
          <w:b/>
          <w:szCs w:val="21"/>
        </w:rPr>
        <w:t>Proposal</w:t>
      </w:r>
      <w:r>
        <w:rPr>
          <w:b/>
          <w:szCs w:val="21"/>
        </w:rPr>
        <w:t xml:space="preserve"> 1</w:t>
      </w:r>
      <w:r w:rsidRPr="00D862C5">
        <w:rPr>
          <w:b/>
          <w:szCs w:val="21"/>
        </w:rPr>
        <w:t xml:space="preserve">, </w:t>
      </w:r>
      <w:r>
        <w:rPr>
          <w:b/>
          <w:szCs w:val="21"/>
        </w:rPr>
        <w:t xml:space="preserve">for </w:t>
      </w:r>
      <w:proofErr w:type="spellStart"/>
      <w:r>
        <w:rPr>
          <w:rFonts w:hint="eastAsia"/>
          <w:b/>
          <w:szCs w:val="21"/>
          <w:lang w:eastAsia="zh-CN"/>
        </w:rPr>
        <w:t>m</w:t>
      </w:r>
      <w:r>
        <w:rPr>
          <w:b/>
          <w:szCs w:val="21"/>
        </w:rPr>
        <w:t>IAB</w:t>
      </w:r>
      <w:proofErr w:type="spellEnd"/>
      <w:r>
        <w:rPr>
          <w:b/>
          <w:szCs w:val="21"/>
        </w:rPr>
        <w:t xml:space="preserve">-DU migration, </w:t>
      </w:r>
      <w:r>
        <w:rPr>
          <w:b/>
          <w:szCs w:val="21"/>
          <w:lang w:val="en-US"/>
        </w:rPr>
        <w:t xml:space="preserve">the scenario that </w:t>
      </w:r>
      <w:r>
        <w:rPr>
          <w:b/>
          <w:szCs w:val="21"/>
        </w:rPr>
        <w:t xml:space="preserve">the target donor CU of the </w:t>
      </w:r>
      <w:proofErr w:type="spellStart"/>
      <w:r>
        <w:rPr>
          <w:rFonts w:hint="eastAsia"/>
          <w:b/>
          <w:szCs w:val="21"/>
          <w:lang w:eastAsia="zh-CN"/>
        </w:rPr>
        <w:t>m</w:t>
      </w:r>
      <w:r>
        <w:rPr>
          <w:b/>
          <w:szCs w:val="21"/>
        </w:rPr>
        <w:t>IAB</w:t>
      </w:r>
      <w:proofErr w:type="spellEnd"/>
      <w:r>
        <w:rPr>
          <w:b/>
          <w:szCs w:val="21"/>
        </w:rPr>
        <w:t xml:space="preserve">-DU is the same as the serving donor CU of the </w:t>
      </w:r>
      <w:proofErr w:type="spellStart"/>
      <w:r>
        <w:rPr>
          <w:b/>
          <w:szCs w:val="21"/>
        </w:rPr>
        <w:t>mIAB</w:t>
      </w:r>
      <w:proofErr w:type="spellEnd"/>
      <w:r>
        <w:rPr>
          <w:b/>
          <w:szCs w:val="21"/>
        </w:rPr>
        <w:t>-MT can be supported in R18.</w:t>
      </w:r>
    </w:p>
    <w:p w14:paraId="4991B791" w14:textId="41489DA7" w:rsidR="005D5A45" w:rsidRDefault="005D5A45" w:rsidP="005D5A45">
      <w:pPr>
        <w:rPr>
          <w:b/>
          <w:szCs w:val="21"/>
          <w:lang w:val="en-US"/>
        </w:rPr>
      </w:pPr>
      <w:r w:rsidRPr="00D862C5">
        <w:rPr>
          <w:b/>
          <w:szCs w:val="21"/>
          <w:lang w:val="en-US"/>
        </w:rPr>
        <w:t>Proposal</w:t>
      </w:r>
      <w:r>
        <w:rPr>
          <w:b/>
          <w:szCs w:val="21"/>
          <w:lang w:val="en-US"/>
        </w:rPr>
        <w:t xml:space="preserve"> 2</w:t>
      </w:r>
      <w:r w:rsidRPr="00D862C5">
        <w:rPr>
          <w:b/>
          <w:szCs w:val="21"/>
          <w:lang w:val="en-US"/>
        </w:rPr>
        <w:t xml:space="preserve">, </w:t>
      </w:r>
      <w:r>
        <w:rPr>
          <w:b/>
          <w:szCs w:val="21"/>
          <w:lang w:val="en-US"/>
        </w:rPr>
        <w:t xml:space="preserve">for </w:t>
      </w:r>
      <w:proofErr w:type="spellStart"/>
      <w:r>
        <w:rPr>
          <w:b/>
          <w:szCs w:val="21"/>
          <w:lang w:val="en-US"/>
        </w:rPr>
        <w:t>mIAB</w:t>
      </w:r>
      <w:proofErr w:type="spellEnd"/>
      <w:r>
        <w:rPr>
          <w:b/>
          <w:szCs w:val="21"/>
          <w:lang w:val="en-US"/>
        </w:rPr>
        <w:t xml:space="preserve">-DU migration, the scenario that the target donor CU of the is different from the serving donor CU of the </w:t>
      </w:r>
      <w:proofErr w:type="spellStart"/>
      <w:r>
        <w:rPr>
          <w:b/>
          <w:szCs w:val="21"/>
          <w:lang w:val="en-US"/>
        </w:rPr>
        <w:t>mIAB</w:t>
      </w:r>
      <w:proofErr w:type="spellEnd"/>
      <w:r>
        <w:rPr>
          <w:b/>
          <w:szCs w:val="21"/>
          <w:lang w:val="en-US"/>
        </w:rPr>
        <w:t xml:space="preserve">-MT is not </w:t>
      </w:r>
      <w:r w:rsidRPr="00997D5B">
        <w:rPr>
          <w:b/>
          <w:szCs w:val="21"/>
          <w:lang w:val="en-US"/>
        </w:rPr>
        <w:t>pursue</w:t>
      </w:r>
      <w:r>
        <w:rPr>
          <w:b/>
          <w:szCs w:val="21"/>
          <w:lang w:val="en-US"/>
        </w:rPr>
        <w:t xml:space="preserve">d in R18. </w:t>
      </w:r>
    </w:p>
    <w:p w14:paraId="162EE780" w14:textId="77777777" w:rsidR="005D5A45" w:rsidRPr="00045D5B" w:rsidRDefault="005D5A45" w:rsidP="005D5A45">
      <w:pPr>
        <w:rPr>
          <w:b/>
          <w:szCs w:val="21"/>
          <w:lang w:val="en-US"/>
        </w:rPr>
      </w:pPr>
      <w:r w:rsidRPr="00045D5B">
        <w:rPr>
          <w:b/>
          <w:szCs w:val="21"/>
          <w:lang w:val="en-US"/>
        </w:rPr>
        <w:t>Proposal</w:t>
      </w:r>
      <w:r>
        <w:rPr>
          <w:b/>
          <w:szCs w:val="21"/>
          <w:lang w:val="en-US"/>
        </w:rPr>
        <w:t xml:space="preserve"> 3</w:t>
      </w:r>
      <w:r w:rsidRPr="00045D5B">
        <w:rPr>
          <w:b/>
          <w:szCs w:val="21"/>
          <w:lang w:val="en-US"/>
        </w:rPr>
        <w:t>, RAN3 to discuss</w:t>
      </w:r>
      <w:r w:rsidRPr="00045D5B">
        <w:rPr>
          <w:b/>
        </w:rPr>
        <w:t xml:space="preserve"> </w:t>
      </w:r>
      <w:r>
        <w:rPr>
          <w:b/>
          <w:szCs w:val="21"/>
          <w:lang w:val="en-US"/>
        </w:rPr>
        <w:t xml:space="preserve">what information should be considered for </w:t>
      </w:r>
      <w:r w:rsidRPr="009D20A0">
        <w:rPr>
          <w:b/>
          <w:szCs w:val="21"/>
          <w:lang w:val="en-US"/>
        </w:rPr>
        <w:t xml:space="preserve">the donor CU serving the </w:t>
      </w:r>
      <w:proofErr w:type="spellStart"/>
      <w:r w:rsidRPr="009D20A0">
        <w:rPr>
          <w:b/>
          <w:szCs w:val="21"/>
          <w:lang w:val="en-US"/>
        </w:rPr>
        <w:t>mIAB</w:t>
      </w:r>
      <w:proofErr w:type="spellEnd"/>
      <w:r w:rsidRPr="009D20A0">
        <w:rPr>
          <w:b/>
          <w:szCs w:val="21"/>
          <w:lang w:val="en-US"/>
        </w:rPr>
        <w:t>-DU</w:t>
      </w:r>
      <w:r>
        <w:rPr>
          <w:b/>
          <w:szCs w:val="21"/>
          <w:lang w:val="en-US"/>
        </w:rPr>
        <w:t xml:space="preserve"> to decide whether to perform DU migration or not. </w:t>
      </w:r>
    </w:p>
    <w:p w14:paraId="2073CA35" w14:textId="77777777" w:rsidR="005D5A45" w:rsidRDefault="005D5A45" w:rsidP="005D5A45">
      <w:pPr>
        <w:rPr>
          <w:b/>
          <w:szCs w:val="21"/>
          <w:lang w:val="en-US"/>
        </w:rPr>
      </w:pPr>
      <w:r w:rsidRPr="00045D5B">
        <w:rPr>
          <w:b/>
          <w:szCs w:val="21"/>
          <w:lang w:val="en-US"/>
        </w:rPr>
        <w:t>Proposal</w:t>
      </w:r>
      <w:r>
        <w:rPr>
          <w:b/>
          <w:szCs w:val="21"/>
          <w:lang w:val="en-US"/>
        </w:rPr>
        <w:t xml:space="preserve"> 4</w:t>
      </w:r>
      <w:r w:rsidRPr="00045D5B">
        <w:rPr>
          <w:b/>
          <w:szCs w:val="21"/>
          <w:lang w:val="en-US"/>
        </w:rPr>
        <w:t xml:space="preserve">, </w:t>
      </w:r>
      <w:r w:rsidRPr="009D20A0">
        <w:rPr>
          <w:b/>
          <w:szCs w:val="21"/>
          <w:lang w:val="en-US"/>
        </w:rPr>
        <w:t>If IP connectivity between the donor CUs is available,</w:t>
      </w:r>
      <w:r>
        <w:rPr>
          <w:b/>
          <w:szCs w:val="21"/>
          <w:lang w:val="en-US"/>
        </w:rPr>
        <w:t xml:space="preserve"> RAN3 down-select the following options to notify the </w:t>
      </w:r>
      <w:r w:rsidRPr="009D20A0">
        <w:rPr>
          <w:b/>
          <w:szCs w:val="21"/>
          <w:lang w:val="en-US"/>
        </w:rPr>
        <w:t xml:space="preserve">donor CU serving the </w:t>
      </w:r>
      <w:proofErr w:type="spellStart"/>
      <w:r w:rsidRPr="009D20A0">
        <w:rPr>
          <w:b/>
          <w:szCs w:val="21"/>
          <w:lang w:val="en-US"/>
        </w:rPr>
        <w:t>mIAB</w:t>
      </w:r>
      <w:proofErr w:type="spellEnd"/>
      <w:r w:rsidRPr="009D20A0">
        <w:rPr>
          <w:b/>
          <w:szCs w:val="21"/>
          <w:lang w:val="en-US"/>
        </w:rPr>
        <w:t>-DU</w:t>
      </w:r>
      <w:r>
        <w:rPr>
          <w:b/>
          <w:szCs w:val="21"/>
          <w:lang w:val="en-US"/>
        </w:rPr>
        <w:t xml:space="preserve"> the co-located IAB-MT handover to a new donor CU.</w:t>
      </w:r>
    </w:p>
    <w:p w14:paraId="15210948" w14:textId="77777777" w:rsidR="005D5A45" w:rsidRPr="009D20A0" w:rsidRDefault="005D5A45" w:rsidP="005D5A45">
      <w:pPr>
        <w:rPr>
          <w:b/>
          <w:szCs w:val="21"/>
          <w:lang w:val="en-US"/>
        </w:rPr>
      </w:pPr>
      <w:r w:rsidRPr="009D20A0">
        <w:rPr>
          <w:b/>
          <w:szCs w:val="21"/>
          <w:lang w:val="en-US"/>
        </w:rPr>
        <w:t>-</w:t>
      </w:r>
      <w:r w:rsidRPr="009D20A0">
        <w:rPr>
          <w:b/>
          <w:szCs w:val="21"/>
          <w:lang w:val="en-US"/>
        </w:rPr>
        <w:tab/>
        <w:t>Option A, target donor CU of the IAB-MT provide the notification to serving donor CU of the IAB-DU</w:t>
      </w:r>
    </w:p>
    <w:p w14:paraId="2F6DC136" w14:textId="77777777" w:rsidR="005D5A45" w:rsidRDefault="005D5A45" w:rsidP="005D5A45">
      <w:pPr>
        <w:rPr>
          <w:b/>
          <w:szCs w:val="21"/>
          <w:lang w:val="en-US"/>
        </w:rPr>
      </w:pPr>
      <w:r w:rsidRPr="009D20A0">
        <w:rPr>
          <w:b/>
          <w:szCs w:val="21"/>
          <w:lang w:val="en-US"/>
        </w:rPr>
        <w:t>-</w:t>
      </w:r>
      <w:r w:rsidRPr="009D20A0">
        <w:rPr>
          <w:b/>
          <w:szCs w:val="21"/>
          <w:lang w:val="en-US"/>
        </w:rPr>
        <w:tab/>
        <w:t>Option B, source donor CU of the IAB-MT provide the notification to serving donor CU of the IAB-DU</w:t>
      </w:r>
    </w:p>
    <w:p w14:paraId="2099F4FC" w14:textId="77777777" w:rsidR="005D5A45" w:rsidRDefault="005D5A45" w:rsidP="005D5A45">
      <w:pPr>
        <w:rPr>
          <w:b/>
          <w:szCs w:val="21"/>
          <w:lang w:val="en-US"/>
        </w:rPr>
      </w:pPr>
      <w:r>
        <w:rPr>
          <w:b/>
          <w:szCs w:val="21"/>
          <w:lang w:val="en-US"/>
        </w:rPr>
        <w:t xml:space="preserve">Proposal 5, IP address should be considered in the notification in case there’s no </w:t>
      </w:r>
      <w:proofErr w:type="spellStart"/>
      <w:r>
        <w:rPr>
          <w:b/>
          <w:szCs w:val="21"/>
          <w:lang w:val="en-US"/>
        </w:rPr>
        <w:t>Xn</w:t>
      </w:r>
      <w:proofErr w:type="spellEnd"/>
      <w:r>
        <w:rPr>
          <w:b/>
          <w:szCs w:val="21"/>
          <w:lang w:val="en-US"/>
        </w:rPr>
        <w:t xml:space="preserve"> connection. </w:t>
      </w:r>
    </w:p>
    <w:p w14:paraId="751AE31F" w14:textId="77777777" w:rsidR="006B75FF" w:rsidRPr="005D5A45" w:rsidRDefault="006B75FF" w:rsidP="006B75FF">
      <w:pPr>
        <w:rPr>
          <w:b/>
          <w:szCs w:val="21"/>
        </w:rPr>
      </w:pPr>
      <w:r w:rsidRPr="005D5A45">
        <w:rPr>
          <w:b/>
          <w:szCs w:val="21"/>
        </w:rPr>
        <w:t>Proposal</w:t>
      </w:r>
      <w:r>
        <w:rPr>
          <w:b/>
          <w:szCs w:val="21"/>
        </w:rPr>
        <w:t xml:space="preserve"> 6</w:t>
      </w:r>
      <w:r w:rsidRPr="005D5A45">
        <w:rPr>
          <w:b/>
          <w:szCs w:val="21"/>
        </w:rPr>
        <w:t>, the serving donor CU of the IAB-DU should notify the IAB node to start setup of the 2</w:t>
      </w:r>
      <w:r w:rsidRPr="005D5A45">
        <w:rPr>
          <w:b/>
          <w:szCs w:val="21"/>
          <w:vertAlign w:val="superscript"/>
        </w:rPr>
        <w:t>nd</w:t>
      </w:r>
      <w:r w:rsidRPr="005D5A45">
        <w:rPr>
          <w:b/>
          <w:szCs w:val="21"/>
        </w:rPr>
        <w:t xml:space="preserve"> logical DU.</w:t>
      </w:r>
    </w:p>
    <w:p w14:paraId="23882455" w14:textId="77777777" w:rsidR="006B75FF" w:rsidRPr="005D5A45" w:rsidRDefault="006B75FF" w:rsidP="006B75FF">
      <w:pPr>
        <w:rPr>
          <w:b/>
          <w:szCs w:val="21"/>
        </w:rPr>
      </w:pPr>
      <w:r w:rsidRPr="005D5A45">
        <w:rPr>
          <w:b/>
          <w:szCs w:val="21"/>
        </w:rPr>
        <w:t>Proposal</w:t>
      </w:r>
      <w:r>
        <w:rPr>
          <w:b/>
          <w:szCs w:val="21"/>
        </w:rPr>
        <w:t xml:space="preserve"> 7</w:t>
      </w:r>
      <w:r w:rsidRPr="005D5A45">
        <w:rPr>
          <w:b/>
          <w:szCs w:val="21"/>
        </w:rPr>
        <w:t xml:space="preserve">, the mobile IAB node should notify the CU1 (i.e. </w:t>
      </w:r>
      <w:r w:rsidRPr="005D5A45">
        <w:rPr>
          <w:b/>
        </w:rPr>
        <w:t>IAB-DU’s donor CU</w:t>
      </w:r>
      <w:r w:rsidRPr="005D5A45">
        <w:rPr>
          <w:b/>
          <w:szCs w:val="21"/>
        </w:rPr>
        <w:t xml:space="preserve">) the setup of F1AP connection and the cell IDs </w:t>
      </w:r>
      <w:r w:rsidRPr="005D5A45">
        <w:rPr>
          <w:b/>
        </w:rPr>
        <w:t>that are served by the logical target IAB-DU.</w:t>
      </w:r>
    </w:p>
    <w:p w14:paraId="28D5C595" w14:textId="77777777" w:rsidR="006B75FF" w:rsidRDefault="006B75FF" w:rsidP="006B75FF">
      <w:pPr>
        <w:rPr>
          <w:b/>
        </w:rPr>
      </w:pPr>
      <w:r>
        <w:rPr>
          <w:b/>
          <w:szCs w:val="21"/>
        </w:rPr>
        <w:t xml:space="preserve">Proposal 8, partial migration over NGAP should not be considered if </w:t>
      </w:r>
      <w:proofErr w:type="spellStart"/>
      <w:r>
        <w:rPr>
          <w:b/>
        </w:rPr>
        <w:t>Xn</w:t>
      </w:r>
      <w:proofErr w:type="spellEnd"/>
      <w:r>
        <w:rPr>
          <w:b/>
        </w:rPr>
        <w:t xml:space="preserve"> and inter-donor IP connectivity is not available, considering long traffic latency introduced.</w:t>
      </w:r>
    </w:p>
    <w:p w14:paraId="19D4DCFF" w14:textId="7C60EA91" w:rsidR="005D5A45" w:rsidRPr="005D5A45" w:rsidRDefault="005D5A45" w:rsidP="005D5A45">
      <w:pPr>
        <w:rPr>
          <w:b/>
          <w:szCs w:val="21"/>
        </w:rPr>
      </w:pPr>
      <w:r>
        <w:rPr>
          <w:b/>
          <w:szCs w:val="21"/>
        </w:rPr>
        <w:t xml:space="preserve">Proposal 9, DU migration and full migration over NGAP can be discussed when the solutions over </w:t>
      </w:r>
      <w:proofErr w:type="spellStart"/>
      <w:r>
        <w:rPr>
          <w:b/>
          <w:szCs w:val="21"/>
        </w:rPr>
        <w:t>XnAP</w:t>
      </w:r>
      <w:proofErr w:type="spellEnd"/>
      <w:r>
        <w:rPr>
          <w:b/>
          <w:szCs w:val="21"/>
        </w:rPr>
        <w:t xml:space="preserve"> is clear and stable. </w:t>
      </w:r>
    </w:p>
    <w:p w14:paraId="193FD945" w14:textId="41EEED5D" w:rsidR="00CD4C7B" w:rsidRPr="006E13D1" w:rsidRDefault="00342065" w:rsidP="00CD4C7B">
      <w:pPr>
        <w:pStyle w:val="1"/>
      </w:pPr>
      <w:r>
        <w:t>4</w:t>
      </w:r>
      <w:r>
        <w:tab/>
      </w:r>
      <w:r w:rsidR="00CD4C7B" w:rsidRPr="006E13D1">
        <w:t>References</w:t>
      </w:r>
    </w:p>
    <w:p w14:paraId="0BA2BD6A" w14:textId="762D33F2" w:rsidR="00080512" w:rsidRPr="00CD4C7B" w:rsidRDefault="00080512" w:rsidP="00587958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47441" w14:textId="77777777" w:rsidR="001E6D6D" w:rsidRDefault="001E6D6D">
      <w:r>
        <w:separator/>
      </w:r>
    </w:p>
  </w:endnote>
  <w:endnote w:type="continuationSeparator" w:id="0">
    <w:p w14:paraId="706694D8" w14:textId="77777777" w:rsidR="001E6D6D" w:rsidRDefault="001E6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78425" w14:textId="77777777" w:rsidR="001E6D6D" w:rsidRDefault="001E6D6D">
      <w:r>
        <w:separator/>
      </w:r>
    </w:p>
  </w:footnote>
  <w:footnote w:type="continuationSeparator" w:id="0">
    <w:p w14:paraId="67621D50" w14:textId="77777777" w:rsidR="001E6D6D" w:rsidRDefault="001E6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977179"/>
    <w:multiLevelType w:val="hybridMultilevel"/>
    <w:tmpl w:val="E99CCA00"/>
    <w:lvl w:ilvl="0" w:tplc="CC22BB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050A"/>
    <w:multiLevelType w:val="hybridMultilevel"/>
    <w:tmpl w:val="DCBE1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C174A"/>
    <w:multiLevelType w:val="hybridMultilevel"/>
    <w:tmpl w:val="76449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83BA5"/>
    <w:multiLevelType w:val="hybridMultilevel"/>
    <w:tmpl w:val="D80247B2"/>
    <w:lvl w:ilvl="0" w:tplc="E5C0BA34">
      <w:start w:val="1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7F908CF"/>
    <w:multiLevelType w:val="hybridMultilevel"/>
    <w:tmpl w:val="317CCA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2E7AD0"/>
    <w:multiLevelType w:val="hybridMultilevel"/>
    <w:tmpl w:val="A4526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5E245D"/>
    <w:multiLevelType w:val="hybridMultilevel"/>
    <w:tmpl w:val="074C55AA"/>
    <w:lvl w:ilvl="0" w:tplc="879618FE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CA1AF3"/>
    <w:multiLevelType w:val="hybridMultilevel"/>
    <w:tmpl w:val="8A9AE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557D1F"/>
    <w:multiLevelType w:val="hybridMultilevel"/>
    <w:tmpl w:val="C206FA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6383C"/>
    <w:multiLevelType w:val="hybridMultilevel"/>
    <w:tmpl w:val="39E46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461B04"/>
    <w:multiLevelType w:val="hybridMultilevel"/>
    <w:tmpl w:val="32682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15"/>
  </w:num>
  <w:num w:numId="6">
    <w:abstractNumId w:val="7"/>
  </w:num>
  <w:num w:numId="7">
    <w:abstractNumId w:val="12"/>
  </w:num>
  <w:num w:numId="8">
    <w:abstractNumId w:val="13"/>
  </w:num>
  <w:num w:numId="9">
    <w:abstractNumId w:val="8"/>
  </w:num>
  <w:num w:numId="10">
    <w:abstractNumId w:val="11"/>
  </w:num>
  <w:num w:numId="11">
    <w:abstractNumId w:val="5"/>
  </w:num>
  <w:num w:numId="12">
    <w:abstractNumId w:val="10"/>
  </w:num>
  <w:num w:numId="13">
    <w:abstractNumId w:val="9"/>
  </w:num>
  <w:num w:numId="14">
    <w:abstractNumId w:val="3"/>
  </w:num>
  <w:num w:numId="15">
    <w:abstractNumId w:val="2"/>
  </w:num>
  <w:num w:numId="16">
    <w:abstractNumId w:val="14"/>
  </w:num>
  <w:num w:numId="17">
    <w:abstractNumId w:val="4"/>
  </w:num>
  <w:num w:numId="18">
    <w:abstractNumId w:val="14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54C7"/>
    <w:rsid w:val="00021025"/>
    <w:rsid w:val="00027D1F"/>
    <w:rsid w:val="0003263B"/>
    <w:rsid w:val="00033397"/>
    <w:rsid w:val="000342C7"/>
    <w:rsid w:val="00040095"/>
    <w:rsid w:val="00045D5B"/>
    <w:rsid w:val="0005563E"/>
    <w:rsid w:val="00080512"/>
    <w:rsid w:val="00083F0D"/>
    <w:rsid w:val="000904E9"/>
    <w:rsid w:val="00096CCA"/>
    <w:rsid w:val="000B7BCF"/>
    <w:rsid w:val="000C1506"/>
    <w:rsid w:val="000C556D"/>
    <w:rsid w:val="000D376D"/>
    <w:rsid w:val="000D58AB"/>
    <w:rsid w:val="000E383B"/>
    <w:rsid w:val="000F1DB2"/>
    <w:rsid w:val="000F693F"/>
    <w:rsid w:val="001075B7"/>
    <w:rsid w:val="001265F8"/>
    <w:rsid w:val="0013262A"/>
    <w:rsid w:val="001370F2"/>
    <w:rsid w:val="001475FB"/>
    <w:rsid w:val="001549DD"/>
    <w:rsid w:val="00155FF2"/>
    <w:rsid w:val="0017527C"/>
    <w:rsid w:val="00190CAC"/>
    <w:rsid w:val="00194CD0"/>
    <w:rsid w:val="0019788D"/>
    <w:rsid w:val="001B08B3"/>
    <w:rsid w:val="001B5DF8"/>
    <w:rsid w:val="001C4281"/>
    <w:rsid w:val="001D0D3F"/>
    <w:rsid w:val="001E39D1"/>
    <w:rsid w:val="001E6294"/>
    <w:rsid w:val="001E6D6D"/>
    <w:rsid w:val="001F168B"/>
    <w:rsid w:val="001F70B7"/>
    <w:rsid w:val="00225F6D"/>
    <w:rsid w:val="0022606D"/>
    <w:rsid w:val="002305DD"/>
    <w:rsid w:val="00243BC7"/>
    <w:rsid w:val="00250D89"/>
    <w:rsid w:val="002546FB"/>
    <w:rsid w:val="002623FC"/>
    <w:rsid w:val="002747EC"/>
    <w:rsid w:val="002855BF"/>
    <w:rsid w:val="002868BC"/>
    <w:rsid w:val="002953B2"/>
    <w:rsid w:val="002E1692"/>
    <w:rsid w:val="002F0D22"/>
    <w:rsid w:val="002F5942"/>
    <w:rsid w:val="00307733"/>
    <w:rsid w:val="003172DC"/>
    <w:rsid w:val="003238E8"/>
    <w:rsid w:val="00326069"/>
    <w:rsid w:val="00342065"/>
    <w:rsid w:val="003454FC"/>
    <w:rsid w:val="003532DA"/>
    <w:rsid w:val="00353B12"/>
    <w:rsid w:val="0035462D"/>
    <w:rsid w:val="00363177"/>
    <w:rsid w:val="003702F7"/>
    <w:rsid w:val="00370F20"/>
    <w:rsid w:val="003717A7"/>
    <w:rsid w:val="00385F81"/>
    <w:rsid w:val="00386801"/>
    <w:rsid w:val="003B3FB3"/>
    <w:rsid w:val="003B5FD6"/>
    <w:rsid w:val="003C4E37"/>
    <w:rsid w:val="003E1194"/>
    <w:rsid w:val="003E16BE"/>
    <w:rsid w:val="003E7223"/>
    <w:rsid w:val="00401855"/>
    <w:rsid w:val="00406760"/>
    <w:rsid w:val="00431A24"/>
    <w:rsid w:val="00455983"/>
    <w:rsid w:val="00464695"/>
    <w:rsid w:val="0047092A"/>
    <w:rsid w:val="004A0AA2"/>
    <w:rsid w:val="004C53DC"/>
    <w:rsid w:val="004C5539"/>
    <w:rsid w:val="004D3578"/>
    <w:rsid w:val="004D380D"/>
    <w:rsid w:val="004D3F58"/>
    <w:rsid w:val="004D5E47"/>
    <w:rsid w:val="004E0173"/>
    <w:rsid w:val="004E213A"/>
    <w:rsid w:val="004E21FC"/>
    <w:rsid w:val="004E6C01"/>
    <w:rsid w:val="004F493F"/>
    <w:rsid w:val="00503171"/>
    <w:rsid w:val="005153FE"/>
    <w:rsid w:val="005240A4"/>
    <w:rsid w:val="00531C12"/>
    <w:rsid w:val="00534DA0"/>
    <w:rsid w:val="005361A0"/>
    <w:rsid w:val="00540B31"/>
    <w:rsid w:val="00543E6C"/>
    <w:rsid w:val="00544635"/>
    <w:rsid w:val="00552076"/>
    <w:rsid w:val="00557E1D"/>
    <w:rsid w:val="005626DD"/>
    <w:rsid w:val="00565087"/>
    <w:rsid w:val="0056573F"/>
    <w:rsid w:val="00565BE9"/>
    <w:rsid w:val="00571CE2"/>
    <w:rsid w:val="0057579F"/>
    <w:rsid w:val="00587958"/>
    <w:rsid w:val="005A4971"/>
    <w:rsid w:val="005B1232"/>
    <w:rsid w:val="005B2EEF"/>
    <w:rsid w:val="005D0F3B"/>
    <w:rsid w:val="005D4274"/>
    <w:rsid w:val="005D5A45"/>
    <w:rsid w:val="005E3C56"/>
    <w:rsid w:val="005F1BD4"/>
    <w:rsid w:val="00605E3E"/>
    <w:rsid w:val="00606DA9"/>
    <w:rsid w:val="00611566"/>
    <w:rsid w:val="00611D47"/>
    <w:rsid w:val="006327AD"/>
    <w:rsid w:val="006538D4"/>
    <w:rsid w:val="00656E1E"/>
    <w:rsid w:val="006604E4"/>
    <w:rsid w:val="0067782C"/>
    <w:rsid w:val="00697E26"/>
    <w:rsid w:val="006B36A5"/>
    <w:rsid w:val="006B3E5D"/>
    <w:rsid w:val="006B75FF"/>
    <w:rsid w:val="006C4235"/>
    <w:rsid w:val="006C54B5"/>
    <w:rsid w:val="006D1E24"/>
    <w:rsid w:val="006F70C2"/>
    <w:rsid w:val="0070147B"/>
    <w:rsid w:val="00702BDF"/>
    <w:rsid w:val="007304F5"/>
    <w:rsid w:val="00734A5B"/>
    <w:rsid w:val="00741EC5"/>
    <w:rsid w:val="00743525"/>
    <w:rsid w:val="00744E76"/>
    <w:rsid w:val="007476DB"/>
    <w:rsid w:val="007528F5"/>
    <w:rsid w:val="00755770"/>
    <w:rsid w:val="00756B13"/>
    <w:rsid w:val="00757D40"/>
    <w:rsid w:val="00767CDA"/>
    <w:rsid w:val="0077054F"/>
    <w:rsid w:val="00774846"/>
    <w:rsid w:val="00776271"/>
    <w:rsid w:val="00781F0F"/>
    <w:rsid w:val="0078727C"/>
    <w:rsid w:val="00797225"/>
    <w:rsid w:val="00797D4B"/>
    <w:rsid w:val="007C095F"/>
    <w:rsid w:val="007C36EF"/>
    <w:rsid w:val="007D5902"/>
    <w:rsid w:val="007E1F12"/>
    <w:rsid w:val="007E4746"/>
    <w:rsid w:val="007F2676"/>
    <w:rsid w:val="007F3F5F"/>
    <w:rsid w:val="00800860"/>
    <w:rsid w:val="00802106"/>
    <w:rsid w:val="008028A4"/>
    <w:rsid w:val="00806520"/>
    <w:rsid w:val="008223CA"/>
    <w:rsid w:val="00830106"/>
    <w:rsid w:val="00840916"/>
    <w:rsid w:val="008415DA"/>
    <w:rsid w:val="00853EDD"/>
    <w:rsid w:val="008604EE"/>
    <w:rsid w:val="00865B05"/>
    <w:rsid w:val="0087401D"/>
    <w:rsid w:val="008768CA"/>
    <w:rsid w:val="00880559"/>
    <w:rsid w:val="008975A9"/>
    <w:rsid w:val="008A4A6A"/>
    <w:rsid w:val="008A79DE"/>
    <w:rsid w:val="008C2835"/>
    <w:rsid w:val="008C490B"/>
    <w:rsid w:val="008C62FA"/>
    <w:rsid w:val="008E0F31"/>
    <w:rsid w:val="0090271F"/>
    <w:rsid w:val="00903D8C"/>
    <w:rsid w:val="00904D26"/>
    <w:rsid w:val="009149D8"/>
    <w:rsid w:val="00917051"/>
    <w:rsid w:val="009321BB"/>
    <w:rsid w:val="00942EC2"/>
    <w:rsid w:val="00952D8F"/>
    <w:rsid w:val="00954BCB"/>
    <w:rsid w:val="00961B32"/>
    <w:rsid w:val="00971683"/>
    <w:rsid w:val="00972FD7"/>
    <w:rsid w:val="00974BB0"/>
    <w:rsid w:val="00997D5B"/>
    <w:rsid w:val="009A6E4F"/>
    <w:rsid w:val="009B36EB"/>
    <w:rsid w:val="009B4F59"/>
    <w:rsid w:val="009C1314"/>
    <w:rsid w:val="009C4D5C"/>
    <w:rsid w:val="009D0A28"/>
    <w:rsid w:val="009D20A0"/>
    <w:rsid w:val="009E17E2"/>
    <w:rsid w:val="009F3B54"/>
    <w:rsid w:val="009F75AB"/>
    <w:rsid w:val="009F7E6E"/>
    <w:rsid w:val="00A10F02"/>
    <w:rsid w:val="00A2199E"/>
    <w:rsid w:val="00A4298B"/>
    <w:rsid w:val="00A53724"/>
    <w:rsid w:val="00A61FEF"/>
    <w:rsid w:val="00A64C87"/>
    <w:rsid w:val="00A80B02"/>
    <w:rsid w:val="00A82346"/>
    <w:rsid w:val="00A8361A"/>
    <w:rsid w:val="00A9671C"/>
    <w:rsid w:val="00AB6AAB"/>
    <w:rsid w:val="00AD4BCF"/>
    <w:rsid w:val="00AE7FEC"/>
    <w:rsid w:val="00AF4A8E"/>
    <w:rsid w:val="00AF78D5"/>
    <w:rsid w:val="00B03810"/>
    <w:rsid w:val="00B1063A"/>
    <w:rsid w:val="00B15449"/>
    <w:rsid w:val="00B4119B"/>
    <w:rsid w:val="00B41851"/>
    <w:rsid w:val="00B42422"/>
    <w:rsid w:val="00B503D9"/>
    <w:rsid w:val="00B6745D"/>
    <w:rsid w:val="00B936A4"/>
    <w:rsid w:val="00B9781E"/>
    <w:rsid w:val="00BA10CA"/>
    <w:rsid w:val="00BA6755"/>
    <w:rsid w:val="00BA7BA8"/>
    <w:rsid w:val="00BB59FF"/>
    <w:rsid w:val="00BD5F05"/>
    <w:rsid w:val="00BE7F3D"/>
    <w:rsid w:val="00BF79F1"/>
    <w:rsid w:val="00C03035"/>
    <w:rsid w:val="00C275BC"/>
    <w:rsid w:val="00C33079"/>
    <w:rsid w:val="00C365F1"/>
    <w:rsid w:val="00C43B31"/>
    <w:rsid w:val="00C50536"/>
    <w:rsid w:val="00C55EB7"/>
    <w:rsid w:val="00C805B8"/>
    <w:rsid w:val="00C85FFB"/>
    <w:rsid w:val="00C866E9"/>
    <w:rsid w:val="00CA276C"/>
    <w:rsid w:val="00CA3D0C"/>
    <w:rsid w:val="00CB6651"/>
    <w:rsid w:val="00CB6887"/>
    <w:rsid w:val="00CC64B4"/>
    <w:rsid w:val="00CD41C2"/>
    <w:rsid w:val="00CD4C7B"/>
    <w:rsid w:val="00D22038"/>
    <w:rsid w:val="00D23014"/>
    <w:rsid w:val="00D45717"/>
    <w:rsid w:val="00D45D1F"/>
    <w:rsid w:val="00D470EA"/>
    <w:rsid w:val="00D563CF"/>
    <w:rsid w:val="00D738D6"/>
    <w:rsid w:val="00D764AE"/>
    <w:rsid w:val="00D80795"/>
    <w:rsid w:val="00D80BE8"/>
    <w:rsid w:val="00D82770"/>
    <w:rsid w:val="00D862C5"/>
    <w:rsid w:val="00D87E00"/>
    <w:rsid w:val="00D908B4"/>
    <w:rsid w:val="00D90D48"/>
    <w:rsid w:val="00D9134D"/>
    <w:rsid w:val="00D97CD9"/>
    <w:rsid w:val="00DA132F"/>
    <w:rsid w:val="00DA1CA9"/>
    <w:rsid w:val="00DA5329"/>
    <w:rsid w:val="00DA6945"/>
    <w:rsid w:val="00DA7A03"/>
    <w:rsid w:val="00DB1818"/>
    <w:rsid w:val="00DB6F28"/>
    <w:rsid w:val="00DC1445"/>
    <w:rsid w:val="00DC309B"/>
    <w:rsid w:val="00DC4DA2"/>
    <w:rsid w:val="00DE1406"/>
    <w:rsid w:val="00E0084C"/>
    <w:rsid w:val="00E07838"/>
    <w:rsid w:val="00E305A4"/>
    <w:rsid w:val="00E340BC"/>
    <w:rsid w:val="00E477A3"/>
    <w:rsid w:val="00E51135"/>
    <w:rsid w:val="00E51F8B"/>
    <w:rsid w:val="00E62835"/>
    <w:rsid w:val="00E77645"/>
    <w:rsid w:val="00E852FF"/>
    <w:rsid w:val="00E90ABE"/>
    <w:rsid w:val="00EA1D56"/>
    <w:rsid w:val="00EA22F8"/>
    <w:rsid w:val="00EC4A25"/>
    <w:rsid w:val="00ED06A6"/>
    <w:rsid w:val="00ED0D91"/>
    <w:rsid w:val="00ED1751"/>
    <w:rsid w:val="00ED7F72"/>
    <w:rsid w:val="00EE022B"/>
    <w:rsid w:val="00EE0A1E"/>
    <w:rsid w:val="00EF2DFA"/>
    <w:rsid w:val="00F01BC8"/>
    <w:rsid w:val="00F025A2"/>
    <w:rsid w:val="00F0718F"/>
    <w:rsid w:val="00F2026E"/>
    <w:rsid w:val="00F2210A"/>
    <w:rsid w:val="00F35C58"/>
    <w:rsid w:val="00F37743"/>
    <w:rsid w:val="00F54114"/>
    <w:rsid w:val="00F54A3D"/>
    <w:rsid w:val="00F653B8"/>
    <w:rsid w:val="00F71331"/>
    <w:rsid w:val="00F76F8F"/>
    <w:rsid w:val="00FA1266"/>
    <w:rsid w:val="00FA5EEC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b">
    <w:name w:val="Normal (Web)"/>
    <w:basedOn w:val="a"/>
    <w:uiPriority w:val="99"/>
    <w:unhideWhenUsed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c">
    <w:name w:val="caption"/>
    <w:basedOn w:val="a"/>
    <w:next w:val="a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d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rsid w:val="00027D1F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F6835-DA2F-446C-9DE4-70AFBD28B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1214</Words>
  <Characters>6921</Characters>
  <Application>Microsoft Office Word</Application>
  <DocSecurity>0</DocSecurity>
  <Lines>57</Lines>
  <Paragraphs>16</Paragraphs>
  <ScaleCrop>false</ScaleCrop>
  <Company/>
  <LinksUpToDate>false</LinksUpToDate>
  <CharactersWithSpaces>8119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2022-11-04T06:29:00Z</dcterms:created>
  <dcterms:modified xsi:type="dcterms:W3CDTF">2022-11-04T06:29:00Z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